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rPr>
          <w:rFonts w:eastAsia="黑体"/>
          <w:szCs w:val="32"/>
          <w:lang w:val="zh-CN"/>
        </w:rPr>
      </w:pPr>
      <w:r>
        <w:rPr>
          <w:rFonts w:eastAsia="黑体"/>
          <w:szCs w:val="32"/>
          <w:lang w:val="zh-CN"/>
        </w:rPr>
        <w:t>附件</w:t>
      </w:r>
      <w:r>
        <w:rPr>
          <w:rFonts w:eastAsia="黑体"/>
          <w:szCs w:val="32"/>
        </w:rPr>
        <w:t>2</w:t>
      </w:r>
    </w:p>
    <w:p>
      <w:pPr>
        <w:widowControl/>
        <w:spacing w:line="580" w:lineRule="exact"/>
        <w:contextualSpacing/>
        <w:rPr>
          <w:rFonts w:eastAsia="宋体"/>
          <w:b/>
          <w:sz w:val="44"/>
          <w:szCs w:val="44"/>
          <w:shd w:val="clear" w:color="auto" w:fill="FFFFFF"/>
        </w:rPr>
      </w:pPr>
    </w:p>
    <w:p>
      <w:pPr>
        <w:widowControl/>
        <w:spacing w:line="580" w:lineRule="exact"/>
        <w:contextualSpacing/>
        <w:jc w:val="center"/>
        <w:rPr>
          <w:rFonts w:hint="eastAsia" w:eastAsia="宋体"/>
          <w:b/>
          <w:sz w:val="44"/>
          <w:szCs w:val="44"/>
          <w:shd w:val="clear" w:color="auto" w:fill="FFFFFF"/>
          <w:lang w:val="zh-CN"/>
        </w:rPr>
      </w:pPr>
      <w:r>
        <w:rPr>
          <w:rFonts w:hint="eastAsia" w:eastAsia="宋体"/>
          <w:b/>
          <w:sz w:val="44"/>
          <w:szCs w:val="44"/>
          <w:shd w:val="clear" w:color="auto" w:fill="FFFFFF"/>
          <w:lang w:val="zh-CN"/>
        </w:rPr>
        <w:t>攀枝花市建设工程质量安全站</w:t>
      </w:r>
    </w:p>
    <w:p>
      <w:pPr>
        <w:widowControl/>
        <w:spacing w:line="580" w:lineRule="exact"/>
        <w:contextualSpacing/>
        <w:jc w:val="center"/>
        <w:rPr>
          <w:rFonts w:eastAsia="黑体"/>
          <w:color w:val="000000"/>
          <w:kern w:val="0"/>
          <w:sz w:val="24"/>
          <w:szCs w:val="32"/>
          <w:shd w:val="clear" w:color="auto" w:fill="FFFFFF"/>
        </w:rPr>
      </w:pPr>
      <w:r>
        <w:rPr>
          <w:rFonts w:eastAsia="宋体"/>
          <w:b/>
          <w:sz w:val="44"/>
          <w:szCs w:val="44"/>
          <w:shd w:val="clear" w:color="auto" w:fill="FFFFFF"/>
        </w:rPr>
        <w:t>2023年市级部门整体支出绩效评价报告</w:t>
      </w:r>
    </w:p>
    <w:p>
      <w:pPr>
        <w:widowControl/>
        <w:adjustRightInd w:val="0"/>
        <w:snapToGrid w:val="0"/>
        <w:spacing w:line="580" w:lineRule="exact"/>
        <w:ind w:firstLine="480" w:firstLineChars="200"/>
        <w:contextualSpacing/>
        <w:jc w:val="left"/>
        <w:rPr>
          <w:rFonts w:eastAsia="黑体"/>
          <w:color w:val="000000"/>
          <w:kern w:val="0"/>
          <w:sz w:val="24"/>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eastAsia="黑体"/>
          <w:color w:val="000000"/>
          <w:kern w:val="0"/>
          <w:szCs w:val="32"/>
          <w:shd w:val="clear" w:color="auto" w:fill="FFFFFF"/>
          <w:lang w:val="zh-CN"/>
        </w:rPr>
      </w:pPr>
      <w:r>
        <w:rPr>
          <w:rFonts w:eastAsia="黑体"/>
          <w:color w:val="000000"/>
          <w:kern w:val="0"/>
          <w:szCs w:val="32"/>
          <w:shd w:val="clear" w:color="auto" w:fill="FFFFFF"/>
        </w:rPr>
        <w:t>一、</w:t>
      </w:r>
      <w:r>
        <w:rPr>
          <w:rFonts w:eastAsia="黑体"/>
          <w:color w:val="000000"/>
          <w:kern w:val="0"/>
          <w:szCs w:val="32"/>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color w:val="000000"/>
          <w:kern w:val="0"/>
          <w:szCs w:val="32"/>
          <w:shd w:val="clear" w:color="auto" w:fill="FFFFFF"/>
          <w:lang w:val="zh-CN"/>
        </w:rPr>
        <w:t>（一）机构组成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rFonts w:hint="eastAsia"/>
          <w:color w:val="000000"/>
          <w:kern w:val="0"/>
          <w:szCs w:val="32"/>
          <w:shd w:val="clear" w:color="auto" w:fill="FFFFFF"/>
          <w:lang w:val="zh-CN"/>
        </w:rPr>
        <w:t>攀枝花市建设工程质量安全站，隶属于攀枝花市住房和城乡建设局，参照公务员法管理的事业单位。我单位共设有9个科室，分别是办公室、检测管理科、安全科、监督科、管理科、稽查科、钒钛高新技术产业开发区分站、工程安装科、工程消防科。</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color w:val="000000"/>
          <w:kern w:val="0"/>
          <w:szCs w:val="32"/>
          <w:shd w:val="clear" w:color="auto" w:fill="FFFFFF"/>
          <w:lang w:val="zh-CN"/>
        </w:rPr>
        <w:t>（二）机构职能。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rFonts w:hint="eastAsia"/>
          <w:color w:val="000000"/>
          <w:kern w:val="0"/>
          <w:szCs w:val="32"/>
          <w:shd w:val="clear" w:color="auto" w:fill="FFFFFF"/>
          <w:lang w:val="zh-CN"/>
        </w:rPr>
        <w:t>承担市住房</w:t>
      </w:r>
      <w:r>
        <w:rPr>
          <w:rFonts w:hint="eastAsia"/>
          <w:color w:val="000000"/>
          <w:kern w:val="0"/>
          <w:szCs w:val="32"/>
          <w:shd w:val="clear" w:color="auto" w:fill="FFFFFF"/>
          <w:lang w:val="en-US" w:eastAsia="zh-CN"/>
        </w:rPr>
        <w:t>和城乡</w:t>
      </w:r>
      <w:r>
        <w:rPr>
          <w:rFonts w:hint="eastAsia"/>
          <w:color w:val="000000"/>
          <w:kern w:val="0"/>
          <w:szCs w:val="32"/>
          <w:shd w:val="clear" w:color="auto" w:fill="FFFFFF"/>
          <w:lang w:val="zh-CN"/>
        </w:rPr>
        <w:t>建设局直接监管工程项目施工质量、消防、防雷、安全生产文明施工、扬尘防治等相关事务性、服务性工作；负责全市工程质量检测机构、施工企业安全生产、监理机构动态核查、考评具体事务的事务性、服务性工作；负责建筑工地质量安全标准化建设、建筑企业评优工作的业务指导；负责市住房和城乡建设局监管项目工程质量安全投诉处理协调工作；负责全市建筑企业三类人员、特种作业人员考核、复审等相关事务性工作；负责建筑工地远程视频监控、在线扬尘监测等信息化工作；承担市住房和城乡建设局交办的其他事务性、服务性工作；负责对县（区）工程质量安全机构业务工作进行指导。</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color w:val="000000"/>
          <w:kern w:val="0"/>
          <w:szCs w:val="32"/>
          <w:shd w:val="clear" w:color="auto" w:fill="FFFFFF"/>
          <w:lang w:val="zh-CN"/>
        </w:rPr>
        <w:t>（三）人员概况。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rFonts w:hint="eastAsia"/>
          <w:color w:val="000000"/>
          <w:kern w:val="0"/>
          <w:szCs w:val="32"/>
          <w:shd w:val="clear" w:color="auto" w:fill="FFFFFF"/>
          <w:lang w:val="zh-CN"/>
        </w:rPr>
        <w:t>市建设工程质量安全站核定人员编制37人，实际在职人数</w:t>
      </w:r>
      <w:r>
        <w:rPr>
          <w:rFonts w:hint="eastAsia"/>
          <w:color w:val="000000"/>
          <w:kern w:val="0"/>
          <w:szCs w:val="32"/>
          <w:highlight w:val="none"/>
          <w:shd w:val="clear" w:color="auto" w:fill="FFFFFF"/>
          <w:lang w:val="zh-CN"/>
        </w:rPr>
        <w:t>33</w:t>
      </w:r>
      <w:r>
        <w:rPr>
          <w:rFonts w:hint="eastAsia"/>
          <w:color w:val="000000"/>
          <w:kern w:val="0"/>
          <w:szCs w:val="32"/>
          <w:shd w:val="clear" w:color="auto" w:fill="FFFFFF"/>
          <w:lang w:val="zh-CN"/>
        </w:rPr>
        <w:t>人（2022年1名人员退休，1名人员调出，1名调入，新增2名公招人员），退休人数</w:t>
      </w:r>
      <w:r>
        <w:rPr>
          <w:rFonts w:hint="eastAsia"/>
          <w:color w:val="000000"/>
          <w:kern w:val="0"/>
          <w:szCs w:val="32"/>
          <w:highlight w:val="none"/>
          <w:shd w:val="clear" w:color="auto" w:fill="FFFFFF"/>
          <w:lang w:val="zh-CN"/>
        </w:rPr>
        <w:t>33</w:t>
      </w:r>
      <w:r>
        <w:rPr>
          <w:rFonts w:hint="eastAsia"/>
          <w:color w:val="000000"/>
          <w:kern w:val="0"/>
          <w:szCs w:val="32"/>
          <w:shd w:val="clear" w:color="auto" w:fill="FFFFFF"/>
          <w:lang w:val="zh-CN"/>
        </w:rPr>
        <w:t>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eastAsia="黑体"/>
          <w:color w:val="000000"/>
          <w:kern w:val="0"/>
          <w:szCs w:val="32"/>
          <w:shd w:val="clear" w:color="auto" w:fill="FFFFFF"/>
        </w:rPr>
      </w:pPr>
      <w:r>
        <w:rPr>
          <w:rFonts w:eastAsia="黑体"/>
          <w:color w:val="000000"/>
          <w:kern w:val="0"/>
          <w:szCs w:val="32"/>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color w:val="000000"/>
          <w:kern w:val="0"/>
          <w:szCs w:val="32"/>
          <w:shd w:val="clear" w:color="auto" w:fill="FFFFFF"/>
          <w:lang w:val="zh-CN"/>
        </w:rPr>
        <w:t>（一）部门财政资金收入情况。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rFonts w:hint="eastAsia"/>
          <w:color w:val="000000"/>
          <w:kern w:val="0"/>
          <w:szCs w:val="32"/>
          <w:shd w:val="clear" w:color="auto" w:fill="FFFFFF"/>
          <w:lang w:val="zh-CN"/>
        </w:rPr>
        <w:t>2022年财政拨款收入为</w:t>
      </w:r>
      <w:r>
        <w:rPr>
          <w:rFonts w:hint="eastAsia"/>
          <w:color w:val="000000"/>
          <w:kern w:val="0"/>
          <w:szCs w:val="32"/>
          <w:shd w:val="clear" w:color="auto" w:fill="FFFFFF"/>
          <w:lang w:val="en-US" w:eastAsia="zh-CN"/>
        </w:rPr>
        <w:t>961.92</w:t>
      </w:r>
      <w:r>
        <w:rPr>
          <w:rFonts w:hint="eastAsia"/>
          <w:color w:val="000000"/>
          <w:kern w:val="0"/>
          <w:szCs w:val="32"/>
          <w:shd w:val="clear" w:color="auto" w:fill="FFFFFF"/>
          <w:lang w:val="zh-CN"/>
        </w:rPr>
        <w:t>万元。</w:t>
      </w:r>
      <w:r>
        <w:rPr>
          <w:color w:val="000000"/>
          <w:kern w:val="0"/>
          <w:szCs w:val="32"/>
          <w:shd w:val="clear" w:color="auto" w:fill="FFFFFF"/>
          <w:lang w:val="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rFonts w:hint="eastAsia"/>
          <w:color w:val="000000"/>
          <w:kern w:val="0"/>
          <w:szCs w:val="32"/>
          <w:shd w:val="clear" w:color="auto" w:fill="FFFFFF"/>
          <w:lang w:val="zh-CN"/>
        </w:rPr>
        <w:t>（</w:t>
      </w:r>
      <w:r>
        <w:rPr>
          <w:rFonts w:hint="eastAsia"/>
          <w:color w:val="000000"/>
          <w:kern w:val="0"/>
          <w:szCs w:val="32"/>
          <w:shd w:val="clear" w:color="auto" w:fill="FFFFFF"/>
          <w:lang w:val="en-US" w:eastAsia="zh-CN"/>
        </w:rPr>
        <w:t>二</w:t>
      </w:r>
      <w:r>
        <w:rPr>
          <w:rFonts w:hint="eastAsia"/>
          <w:color w:val="000000"/>
          <w:kern w:val="0"/>
          <w:szCs w:val="32"/>
          <w:shd w:val="clear" w:color="auto" w:fill="FFFFFF"/>
          <w:lang w:val="zh-CN"/>
        </w:rPr>
        <w:t>）</w:t>
      </w:r>
      <w:r>
        <w:rPr>
          <w:color w:val="000000"/>
          <w:kern w:val="0"/>
          <w:szCs w:val="32"/>
          <w:shd w:val="clear" w:color="auto" w:fill="FFFFFF"/>
          <w:lang w:val="zh-CN"/>
        </w:rPr>
        <w:t>部门财政资金支出情况。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highlight w:val="none"/>
          <w:shd w:val="clear" w:color="auto" w:fill="FFFFFF"/>
          <w:lang w:val="zh-CN"/>
        </w:rPr>
      </w:pPr>
      <w:r>
        <w:rPr>
          <w:rFonts w:hint="eastAsia"/>
          <w:color w:val="000000"/>
          <w:kern w:val="0"/>
          <w:szCs w:val="32"/>
          <w:shd w:val="clear" w:color="auto" w:fill="FFFFFF"/>
          <w:lang w:val="zh-CN"/>
        </w:rPr>
        <w:t>2022部门财政资金支出为961.92万元，其中：</w:t>
      </w:r>
      <w:r>
        <w:rPr>
          <w:rFonts w:hint="eastAsia"/>
          <w:color w:val="000000"/>
          <w:kern w:val="0"/>
          <w:szCs w:val="32"/>
          <w:highlight w:val="none"/>
          <w:shd w:val="clear" w:color="auto" w:fill="FFFFFF"/>
          <w:lang w:val="zh-CN"/>
        </w:rPr>
        <w:t>基本支出821.16万元（人员经费753.39万元，日常公用经费67.77万元），基本支出占总支出85.37%；项目支出为140.76万元，占总支出14.63%。整体比上年增加29.55万元，主要是人员经费的增加。</w:t>
      </w:r>
    </w:p>
    <w:p>
      <w:pPr>
        <w:widowControl/>
        <w:numPr>
          <w:ilvl w:val="0"/>
          <w:numId w:val="1"/>
        </w:numPr>
        <w:adjustRightInd w:val="0"/>
        <w:snapToGrid w:val="0"/>
        <w:spacing w:line="580" w:lineRule="exact"/>
        <w:ind w:firstLine="640" w:firstLineChars="200"/>
        <w:contextualSpacing/>
        <w:jc w:val="left"/>
        <w:rPr>
          <w:rFonts w:eastAsia="黑体"/>
          <w:color w:val="000000"/>
          <w:kern w:val="0"/>
          <w:szCs w:val="32"/>
          <w:shd w:val="clear" w:color="auto" w:fill="FFFFFF"/>
        </w:rPr>
      </w:pPr>
      <w:r>
        <w:rPr>
          <w:rFonts w:eastAsia="黑体"/>
          <w:color w:val="000000"/>
          <w:kern w:val="0"/>
          <w:szCs w:val="32"/>
          <w:shd w:val="clear" w:color="auto" w:fill="FFFFFF"/>
        </w:rPr>
        <w:t>部门整体预算绩效管理情况</w:t>
      </w:r>
    </w:p>
    <w:p>
      <w:pPr>
        <w:widowControl/>
        <w:numPr>
          <w:ilvl w:val="0"/>
          <w:numId w:val="0"/>
        </w:numPr>
        <w:adjustRightInd w:val="0"/>
        <w:snapToGrid w:val="0"/>
        <w:spacing w:line="580" w:lineRule="exact"/>
        <w:ind w:firstLine="640" w:firstLineChars="200"/>
        <w:contextualSpacing/>
        <w:jc w:val="left"/>
        <w:rPr>
          <w:color w:val="000000"/>
          <w:kern w:val="0"/>
          <w:szCs w:val="32"/>
          <w:shd w:val="clear" w:color="auto" w:fill="FFFFFF"/>
          <w:lang w:val="zh-CN"/>
        </w:rPr>
      </w:pPr>
      <w:r>
        <w:rPr>
          <w:color w:val="000000"/>
          <w:kern w:val="0"/>
          <w:szCs w:val="32"/>
          <w:shd w:val="clear" w:color="auto" w:fill="FFFFFF"/>
          <w:lang w:val="zh-CN"/>
        </w:rPr>
        <w:t>（一）部门预算项目绩效管理。</w:t>
      </w:r>
    </w:p>
    <w:p>
      <w:pPr>
        <w:widowControl/>
        <w:adjustRightInd w:val="0"/>
        <w:snapToGrid w:val="0"/>
        <w:spacing w:line="580" w:lineRule="exact"/>
        <w:ind w:firstLine="640" w:firstLineChars="200"/>
        <w:contextualSpacing/>
        <w:jc w:val="left"/>
        <w:rPr>
          <w:color w:val="000000"/>
          <w:kern w:val="0"/>
          <w:szCs w:val="32"/>
          <w:shd w:val="clear" w:color="auto" w:fill="FFFFFF"/>
          <w:lang w:val="zh-CN"/>
        </w:rPr>
      </w:pPr>
      <w:r>
        <w:rPr>
          <w:rFonts w:hint="eastAsia"/>
          <w:color w:val="000000"/>
          <w:kern w:val="0"/>
          <w:szCs w:val="32"/>
          <w:shd w:val="clear" w:color="auto" w:fill="FFFFFF"/>
          <w:lang w:val="zh-CN"/>
        </w:rPr>
        <w:t xml:space="preserve">                                           单位：万元</w:t>
      </w:r>
    </w:p>
    <w:tbl>
      <w:tblPr>
        <w:tblStyle w:val="6"/>
        <w:tblW w:w="9563" w:type="dxa"/>
        <w:tblInd w:w="93" w:type="dxa"/>
        <w:tblLayout w:type="fixed"/>
        <w:tblCellMar>
          <w:top w:w="0" w:type="dxa"/>
          <w:left w:w="108" w:type="dxa"/>
          <w:bottom w:w="0" w:type="dxa"/>
          <w:right w:w="108" w:type="dxa"/>
        </w:tblCellMar>
      </w:tblPr>
      <w:tblGrid>
        <w:gridCol w:w="1008"/>
        <w:gridCol w:w="1701"/>
        <w:gridCol w:w="2266"/>
        <w:gridCol w:w="795"/>
        <w:gridCol w:w="870"/>
        <w:gridCol w:w="840"/>
        <w:gridCol w:w="615"/>
        <w:gridCol w:w="734"/>
        <w:gridCol w:w="734"/>
      </w:tblGrid>
      <w:tr>
        <w:tblPrEx>
          <w:tblCellMar>
            <w:top w:w="0" w:type="dxa"/>
            <w:left w:w="108" w:type="dxa"/>
            <w:bottom w:w="0" w:type="dxa"/>
            <w:right w:w="108" w:type="dxa"/>
          </w:tblCellMar>
        </w:tblPrEx>
        <w:trPr>
          <w:trHeight w:val="660"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部门绩效目标指定情况</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项目</w:t>
            </w:r>
            <w:r>
              <w:rPr>
                <w:rFonts w:hint="eastAsia" w:ascii="宋体" w:hAnsi="宋体" w:eastAsia="宋体" w:cs="宋体"/>
                <w:color w:val="000000"/>
                <w:kern w:val="0"/>
                <w:sz w:val="18"/>
                <w:szCs w:val="18"/>
                <w:lang w:val="en-US" w:eastAsia="zh-CN"/>
              </w:rPr>
              <w:t>实现情况</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预算完成数</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完成</w:t>
            </w:r>
            <w:r>
              <w:rPr>
                <w:rFonts w:hint="eastAsia" w:ascii="宋体" w:hAnsi="宋体" w:eastAsia="宋体" w:cs="宋体"/>
                <w:color w:val="000000"/>
                <w:kern w:val="0"/>
                <w:sz w:val="18"/>
                <w:szCs w:val="18"/>
                <w:lang w:val="en-US" w:eastAsia="zh-CN"/>
              </w:rPr>
              <w:t>率</w:t>
            </w:r>
            <w:r>
              <w:rPr>
                <w:rFonts w:hint="eastAsia" w:ascii="宋体" w:hAnsi="宋体" w:eastAsia="宋体" w:cs="宋体"/>
                <w:color w:val="000000"/>
                <w:kern w:val="0"/>
                <w:sz w:val="18"/>
                <w:szCs w:val="18"/>
              </w:rPr>
              <w:t>%</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预算完成情况</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资金结余率</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违规记录</w:t>
            </w:r>
          </w:p>
        </w:tc>
      </w:tr>
      <w:tr>
        <w:tblPrEx>
          <w:tblCellMar>
            <w:top w:w="0" w:type="dxa"/>
            <w:left w:w="108" w:type="dxa"/>
            <w:bottom w:w="0" w:type="dxa"/>
            <w:right w:w="108" w:type="dxa"/>
          </w:tblCellMar>
        </w:tblPrEx>
        <w:trPr>
          <w:trHeight w:val="1427"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highlight w:val="none"/>
              </w:rPr>
              <w:t>人员经费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为促进我市建筑工程质量安全工作的长效发展，支付在编在职在岗人员工资及社保、奖金、绩效等。</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支付</w:t>
            </w:r>
            <w:r>
              <w:rPr>
                <w:rFonts w:hint="eastAsia" w:ascii="宋体" w:hAnsi="宋体" w:eastAsia="宋体" w:cs="宋体"/>
                <w:color w:val="000000"/>
                <w:kern w:val="0"/>
                <w:sz w:val="18"/>
                <w:szCs w:val="18"/>
              </w:rPr>
              <w:t>33</w:t>
            </w:r>
            <w:r>
              <w:rPr>
                <w:rFonts w:hint="eastAsia" w:ascii="宋体" w:hAnsi="宋体" w:eastAsia="宋体" w:cs="宋体"/>
                <w:color w:val="000000"/>
                <w:kern w:val="0"/>
                <w:sz w:val="18"/>
                <w:szCs w:val="18"/>
                <w:lang w:val="en-US" w:eastAsia="zh-CN"/>
              </w:rPr>
              <w:t>名</w:t>
            </w:r>
            <w:r>
              <w:rPr>
                <w:rFonts w:hint="eastAsia" w:ascii="宋体" w:hAnsi="宋体" w:eastAsia="宋体" w:cs="宋体"/>
                <w:color w:val="000000"/>
                <w:kern w:val="0"/>
                <w:sz w:val="18"/>
                <w:szCs w:val="18"/>
              </w:rPr>
              <w:t>实际在职</w:t>
            </w:r>
            <w:r>
              <w:rPr>
                <w:rFonts w:hint="eastAsia" w:ascii="宋体" w:hAnsi="宋体" w:eastAsia="宋体" w:cs="宋体"/>
                <w:color w:val="000000"/>
                <w:kern w:val="0"/>
                <w:sz w:val="18"/>
                <w:szCs w:val="18"/>
                <w:lang w:val="en-US" w:eastAsia="zh-CN"/>
              </w:rPr>
              <w:t>人员工资、五险一金、绩效等</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33人退休</w:t>
            </w:r>
            <w:r>
              <w:rPr>
                <w:rFonts w:hint="eastAsia" w:ascii="宋体" w:hAnsi="宋体" w:eastAsia="宋体" w:cs="宋体"/>
                <w:color w:val="000000"/>
                <w:kern w:val="0"/>
                <w:sz w:val="18"/>
                <w:szCs w:val="18"/>
                <w:lang w:val="en-US" w:eastAsia="zh-CN"/>
              </w:rPr>
              <w:t>房帖、生活补贴等</w:t>
            </w:r>
            <w:r>
              <w:rPr>
                <w:rFonts w:hint="eastAsia" w:ascii="宋体" w:hAnsi="宋体" w:eastAsia="宋体" w:cs="宋体"/>
                <w:color w:val="000000"/>
                <w:kern w:val="0"/>
                <w:sz w:val="18"/>
                <w:szCs w:val="18"/>
              </w:rPr>
              <w:t>。</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753.39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rPr>
            </w:pPr>
            <w:r>
              <w:rPr>
                <w:rFonts w:hint="eastAsia" w:ascii="楷体_GB2312" w:hAnsi="宋体" w:eastAsia="楷体_GB2312" w:cs="宋体"/>
                <w:color w:val="000000"/>
                <w:kern w:val="0"/>
                <w:sz w:val="18"/>
                <w:szCs w:val="18"/>
                <w:lang w:val="en-US" w:eastAsia="zh-CN"/>
              </w:rPr>
              <w:t>753.39</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rPr>
            </w:pPr>
            <w:r>
              <w:rPr>
                <w:rFonts w:hint="eastAsia" w:ascii="楷体_GB2312" w:hAnsi="宋体" w:eastAsia="楷体_GB2312" w:cs="宋体"/>
                <w:color w:val="000000"/>
                <w:kern w:val="0"/>
                <w:sz w:val="18"/>
                <w:szCs w:val="18"/>
                <w:lang w:val="en-US" w:eastAsia="zh-CN"/>
              </w:rPr>
              <w:t>100%</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_GB2312" w:hAnsi="宋体" w:eastAsia="楷体_GB2312" w:cs="宋体"/>
                <w:color w:val="000000"/>
                <w:kern w:val="0"/>
                <w:sz w:val="18"/>
                <w:szCs w:val="18"/>
                <w:lang w:val="en-US" w:eastAsia="zh-CN"/>
              </w:rPr>
            </w:pPr>
            <w:r>
              <w:rPr>
                <w:rFonts w:hint="eastAsia" w:ascii="楷体_GB2312" w:hAnsi="宋体" w:eastAsia="楷体_GB2312" w:cs="宋体"/>
                <w:color w:val="000000"/>
                <w:kern w:val="0"/>
                <w:sz w:val="18"/>
                <w:szCs w:val="18"/>
                <w:lang w:val="en-US" w:eastAsia="zh-CN"/>
              </w:rPr>
              <w:t>已完成</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rPr>
            </w:pPr>
            <w:r>
              <w:rPr>
                <w:rFonts w:hint="eastAsia" w:ascii="楷体_GB2312" w:hAnsi="宋体" w:eastAsia="楷体_GB2312" w:cs="宋体"/>
                <w:color w:val="000000"/>
                <w:kern w:val="0"/>
                <w:sz w:val="18"/>
                <w:szCs w:val="18"/>
                <w:lang w:val="en-US" w:eastAsia="zh-CN"/>
              </w:rPr>
              <w:t>0%</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rPr>
            </w:pPr>
            <w:r>
              <w:rPr>
                <w:rFonts w:hint="eastAsia" w:ascii="楷体_GB2312" w:hAnsi="宋体" w:eastAsia="楷体_GB2312" w:cs="宋体"/>
                <w:color w:val="000000"/>
                <w:kern w:val="0"/>
                <w:sz w:val="18"/>
                <w:szCs w:val="18"/>
                <w:lang w:val="en-US" w:eastAsia="zh-CN"/>
              </w:rPr>
              <w:t>无</w:t>
            </w:r>
          </w:p>
        </w:tc>
      </w:tr>
      <w:tr>
        <w:tblPrEx>
          <w:tblCellMar>
            <w:top w:w="0" w:type="dxa"/>
            <w:left w:w="108" w:type="dxa"/>
            <w:bottom w:w="0" w:type="dxa"/>
            <w:right w:w="108" w:type="dxa"/>
          </w:tblCellMar>
        </w:tblPrEx>
        <w:trPr>
          <w:trHeight w:val="3235"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yellow"/>
              </w:rPr>
            </w:pPr>
            <w:r>
              <w:rPr>
                <w:rFonts w:hint="eastAsia" w:ascii="宋体" w:hAnsi="宋体" w:eastAsia="宋体" w:cs="宋体"/>
                <w:color w:val="000000"/>
                <w:kern w:val="0"/>
                <w:sz w:val="18"/>
                <w:szCs w:val="18"/>
                <w:highlight w:val="none"/>
              </w:rPr>
              <w:t>公用经费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在编在职在岗人员开展受监工程施工安全监督，保障受监工程安全生产形势平稳受控日常公用。</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支付日常办公经费、车贴、公务用车运行维护费、差旅费等；支付退休人员日常公用经费、福利费及党建经费。</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67.77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rPr>
            </w:pPr>
            <w:r>
              <w:rPr>
                <w:rFonts w:hint="eastAsia" w:ascii="楷体_GB2312" w:hAnsi="宋体" w:eastAsia="楷体_GB2312" w:cs="宋体"/>
                <w:color w:val="000000"/>
                <w:kern w:val="0"/>
                <w:sz w:val="18"/>
                <w:szCs w:val="18"/>
                <w:lang w:val="en-US" w:eastAsia="zh-CN"/>
              </w:rPr>
              <w:t>67.77</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rPr>
            </w:pPr>
            <w:r>
              <w:rPr>
                <w:rFonts w:hint="eastAsia" w:ascii="楷体_GB2312" w:hAnsi="宋体" w:eastAsia="楷体_GB2312" w:cs="宋体"/>
                <w:color w:val="000000"/>
                <w:kern w:val="0"/>
                <w:sz w:val="18"/>
                <w:szCs w:val="18"/>
                <w:lang w:val="en-US" w:eastAsia="zh-CN"/>
              </w:rPr>
              <w:t>100%</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已完成</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0%</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无</w:t>
            </w:r>
          </w:p>
        </w:tc>
      </w:tr>
      <w:tr>
        <w:tblPrEx>
          <w:tblCellMar>
            <w:top w:w="0" w:type="dxa"/>
            <w:left w:w="108" w:type="dxa"/>
            <w:bottom w:w="0" w:type="dxa"/>
            <w:right w:w="108" w:type="dxa"/>
          </w:tblCellMar>
        </w:tblPrEx>
        <w:trPr>
          <w:trHeight w:val="1580"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部门绩效目标指定情况</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项目</w:t>
            </w:r>
            <w:r>
              <w:rPr>
                <w:rFonts w:hint="eastAsia" w:ascii="宋体" w:hAnsi="宋体" w:eastAsia="宋体" w:cs="宋体"/>
                <w:color w:val="000000"/>
                <w:kern w:val="0"/>
                <w:sz w:val="18"/>
                <w:szCs w:val="18"/>
                <w:lang w:val="en-US" w:eastAsia="zh-CN"/>
              </w:rPr>
              <w:t>实现情况</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预算完成数</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完成比%</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预算完成情况</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资金结余率</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违规记录</w:t>
            </w:r>
          </w:p>
        </w:tc>
      </w:tr>
      <w:tr>
        <w:tblPrEx>
          <w:tblCellMar>
            <w:top w:w="0" w:type="dxa"/>
            <w:left w:w="108" w:type="dxa"/>
            <w:bottom w:w="0" w:type="dxa"/>
            <w:right w:w="108" w:type="dxa"/>
          </w:tblCellMar>
        </w:tblPrEx>
        <w:trPr>
          <w:trHeight w:val="4870"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建设工程质量数字化管理</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按统一平台、整合资源的原则，负责全市建筑施工远程视频监控平台的规划、建设、管理和使用。做好全市建设工程远程数据收集和取证，对监控时的安全隐患、违章操作、安全事故以及其他异常情况等影像资料进行管理</w:t>
            </w:r>
            <w:r>
              <w:rPr>
                <w:rFonts w:hint="eastAsia" w:ascii="宋体" w:hAnsi="宋体" w:eastAsia="宋体" w:cs="宋体"/>
                <w:color w:val="000000"/>
                <w:kern w:val="0"/>
                <w:sz w:val="18"/>
                <w:szCs w:val="18"/>
                <w:lang w:eastAsia="zh-CN"/>
              </w:rPr>
              <w:t>。</w:t>
            </w:r>
          </w:p>
        </w:tc>
        <w:tc>
          <w:tcPr>
            <w:tcW w:w="22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保证聘用人员技术指标合格，提高建设工程安全质量水平，聘用监控人员10人</w:t>
            </w:r>
            <w:r>
              <w:rPr>
                <w:rFonts w:hint="eastAsia" w:ascii="宋体" w:hAnsi="宋体" w:eastAsia="宋体" w:cs="宋体"/>
                <w:color w:val="000000"/>
                <w:kern w:val="0"/>
                <w:sz w:val="18"/>
                <w:szCs w:val="18"/>
                <w:lang w:eastAsia="zh-CN"/>
              </w:rPr>
              <w:t>。</w:t>
            </w: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40.84</w:t>
            </w:r>
          </w:p>
        </w:tc>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40.84</w:t>
            </w:r>
          </w:p>
        </w:tc>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100%</w:t>
            </w:r>
          </w:p>
        </w:tc>
        <w:tc>
          <w:tcPr>
            <w:tcW w:w="6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已完成</w:t>
            </w:r>
          </w:p>
        </w:tc>
        <w:tc>
          <w:tcPr>
            <w:tcW w:w="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0%</w:t>
            </w:r>
          </w:p>
        </w:tc>
        <w:tc>
          <w:tcPr>
            <w:tcW w:w="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无</w:t>
            </w:r>
          </w:p>
        </w:tc>
      </w:tr>
      <w:tr>
        <w:tblPrEx>
          <w:tblCellMar>
            <w:top w:w="0" w:type="dxa"/>
            <w:left w:w="108" w:type="dxa"/>
            <w:bottom w:w="0" w:type="dxa"/>
            <w:right w:w="108" w:type="dxa"/>
          </w:tblCellMar>
        </w:tblPrEx>
        <w:trPr>
          <w:trHeight w:val="1740"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编外合同制用工</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解决了当前专业技术人员短缺</w:t>
            </w:r>
            <w:r>
              <w:rPr>
                <w:rFonts w:hint="eastAsia" w:ascii="宋体" w:hAnsi="宋体" w:eastAsia="宋体" w:cs="宋体"/>
                <w:color w:val="000000"/>
                <w:kern w:val="0"/>
                <w:sz w:val="18"/>
                <w:szCs w:val="18"/>
                <w:lang w:val="en-US" w:eastAsia="zh-CN"/>
              </w:rPr>
              <w:t>问题。</w:t>
            </w:r>
          </w:p>
        </w:tc>
        <w:tc>
          <w:tcPr>
            <w:tcW w:w="22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加强了监督范围的延伸，弥补了专业技术人员不足的矛盾，长期聘用专业技术人员25人。</w:t>
            </w: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87.17</w:t>
            </w:r>
          </w:p>
        </w:tc>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87.17</w:t>
            </w:r>
          </w:p>
        </w:tc>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100%</w:t>
            </w:r>
          </w:p>
        </w:tc>
        <w:tc>
          <w:tcPr>
            <w:tcW w:w="6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已完成</w:t>
            </w:r>
          </w:p>
        </w:tc>
        <w:tc>
          <w:tcPr>
            <w:tcW w:w="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0%</w:t>
            </w:r>
          </w:p>
        </w:tc>
        <w:tc>
          <w:tcPr>
            <w:tcW w:w="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无</w:t>
            </w:r>
          </w:p>
        </w:tc>
      </w:tr>
      <w:tr>
        <w:tblPrEx>
          <w:tblCellMar>
            <w:top w:w="0" w:type="dxa"/>
            <w:left w:w="108" w:type="dxa"/>
            <w:bottom w:w="0" w:type="dxa"/>
            <w:right w:w="108" w:type="dxa"/>
          </w:tblCellMar>
        </w:tblPrEx>
        <w:trPr>
          <w:trHeight w:val="3585"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抽检业务费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围绕“质量强市”开展工程质量监督工作，使全市工程质量水平有较大提升，确保工程质量合格。</w:t>
            </w:r>
          </w:p>
        </w:tc>
        <w:tc>
          <w:tcPr>
            <w:tcW w:w="22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开展了8个工程项目质量检测，保护层厚度检测14组、楼板厚度8组建筑材料、混凝土回弹强度160组、钢筋原材料3组、钢筋连接6组、混凝土6组、烧结多孔砖2组等材料委托检测</w:t>
            </w:r>
            <w:r>
              <w:rPr>
                <w:rFonts w:hint="eastAsia"/>
                <w:sz w:val="18"/>
                <w:szCs w:val="18"/>
              </w:rPr>
              <w:t>。</w:t>
            </w: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10</w:t>
            </w:r>
          </w:p>
        </w:tc>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10</w:t>
            </w:r>
          </w:p>
        </w:tc>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100%</w:t>
            </w:r>
          </w:p>
        </w:tc>
        <w:tc>
          <w:tcPr>
            <w:tcW w:w="6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已完成</w:t>
            </w:r>
          </w:p>
        </w:tc>
        <w:tc>
          <w:tcPr>
            <w:tcW w:w="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0%</w:t>
            </w:r>
          </w:p>
        </w:tc>
        <w:tc>
          <w:tcPr>
            <w:tcW w:w="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无</w:t>
            </w:r>
          </w:p>
        </w:tc>
      </w:tr>
      <w:tr>
        <w:tblPrEx>
          <w:tblCellMar>
            <w:top w:w="0" w:type="dxa"/>
            <w:left w:w="108" w:type="dxa"/>
            <w:bottom w:w="0" w:type="dxa"/>
            <w:right w:w="108" w:type="dxa"/>
          </w:tblCellMar>
        </w:tblPrEx>
        <w:trPr>
          <w:trHeight w:val="435"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日常办公楼水电及维修维护，屋顶花园及办公楼院花草树木管理</w:t>
            </w:r>
            <w:r>
              <w:rPr>
                <w:rFonts w:hint="eastAsia" w:ascii="宋体" w:hAnsi="宋体" w:eastAsia="宋体" w:cs="宋体"/>
                <w:color w:val="000000"/>
                <w:kern w:val="0"/>
                <w:sz w:val="18"/>
                <w:szCs w:val="18"/>
                <w:lang w:eastAsia="zh-CN"/>
              </w:rPr>
              <w:t>。</w:t>
            </w:r>
          </w:p>
        </w:tc>
        <w:tc>
          <w:tcPr>
            <w:tcW w:w="22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物业人员工资及日常维护</w:t>
            </w:r>
            <w:r>
              <w:rPr>
                <w:rFonts w:hint="eastAsia" w:ascii="宋体" w:hAnsi="宋体" w:eastAsia="宋体" w:cs="宋体"/>
                <w:color w:val="000000"/>
                <w:kern w:val="0"/>
                <w:sz w:val="18"/>
                <w:szCs w:val="18"/>
                <w:lang w:eastAsia="zh-CN"/>
              </w:rPr>
              <w:t>。</w:t>
            </w: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2.75</w:t>
            </w:r>
          </w:p>
        </w:tc>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2.75</w:t>
            </w:r>
          </w:p>
        </w:tc>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6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已完成</w:t>
            </w:r>
          </w:p>
        </w:tc>
        <w:tc>
          <w:tcPr>
            <w:tcW w:w="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0%</w:t>
            </w:r>
          </w:p>
        </w:tc>
        <w:tc>
          <w:tcPr>
            <w:tcW w:w="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楷体_GB2312" w:hAnsi="宋体" w:eastAsia="楷体_GB2312" w:cs="宋体"/>
                <w:color w:val="000000"/>
                <w:kern w:val="0"/>
                <w:sz w:val="18"/>
                <w:szCs w:val="18"/>
                <w:lang w:val="en-US" w:eastAsia="zh-CN" w:bidi="ar-SA"/>
              </w:rPr>
            </w:pPr>
            <w:r>
              <w:rPr>
                <w:rFonts w:hint="eastAsia" w:ascii="楷体_GB2312" w:hAnsi="宋体" w:eastAsia="楷体_GB2312" w:cs="宋体"/>
                <w:color w:val="000000"/>
                <w:kern w:val="0"/>
                <w:sz w:val="18"/>
                <w:szCs w:val="18"/>
                <w:lang w:val="en-US" w:eastAsia="zh-CN"/>
              </w:rPr>
              <w:t>无</w:t>
            </w:r>
          </w:p>
        </w:tc>
      </w:tr>
      <w:tr>
        <w:tblPrEx>
          <w:tblCellMar>
            <w:top w:w="0" w:type="dxa"/>
            <w:left w:w="108" w:type="dxa"/>
            <w:bottom w:w="0" w:type="dxa"/>
            <w:right w:w="108" w:type="dxa"/>
          </w:tblCellMar>
        </w:tblPrEx>
        <w:trPr>
          <w:trHeight w:val="435"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合计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22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961.92</w:t>
            </w:r>
          </w:p>
        </w:tc>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961.92</w:t>
            </w:r>
          </w:p>
        </w:tc>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6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bl>
    <w:p>
      <w:pPr>
        <w:widowControl/>
        <w:adjustRightInd w:val="0"/>
        <w:snapToGrid w:val="0"/>
        <w:spacing w:line="580" w:lineRule="exact"/>
        <w:contextualSpacing/>
        <w:jc w:val="left"/>
        <w:rPr>
          <w:color w:val="000000"/>
          <w:kern w:val="0"/>
          <w:szCs w:val="32"/>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color w:val="000000"/>
          <w:kern w:val="0"/>
          <w:szCs w:val="32"/>
          <w:shd w:val="clear" w:color="auto" w:fill="FFFFFF"/>
          <w:lang w:val="zh-CN"/>
        </w:rPr>
        <w:t>（二）结果应用情况。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rFonts w:hint="eastAsia"/>
          <w:color w:val="000000"/>
          <w:kern w:val="0"/>
          <w:szCs w:val="32"/>
          <w:shd w:val="clear" w:color="auto" w:fill="FFFFFF"/>
          <w:lang w:val="zh-CN"/>
        </w:rPr>
        <w:t>我单位 2022年已按照要求进行整体支出绩效公开，并把自评结果应用作为全过程预算绩效管理落脚点，及时整理、归纳、分析、反馈绩效自评结果，并将其作为改进预算管理和以后年度预算安排的重要依据。未发现需整改问题，不存在违规记录等情况。</w:t>
      </w:r>
    </w:p>
    <w:p>
      <w:pPr>
        <w:keepNext w:val="0"/>
        <w:keepLines w:val="0"/>
        <w:pageBreakBefore w:val="0"/>
        <w:widowControl/>
        <w:numPr>
          <w:ilvl w:val="0"/>
          <w:numId w:val="2"/>
        </w:numPr>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color w:val="000000"/>
          <w:kern w:val="0"/>
          <w:szCs w:val="32"/>
          <w:shd w:val="clear" w:color="auto" w:fill="FFFFFF"/>
          <w:lang w:val="zh-CN"/>
        </w:rPr>
        <w:t>自评质量</w:t>
      </w:r>
      <w:r>
        <w:rPr>
          <w:rFonts w:hint="eastAsia"/>
          <w:color w:val="000000"/>
          <w:kern w:val="0"/>
          <w:szCs w:val="32"/>
          <w:shd w:val="clear" w:color="auto" w:fill="FFFFFF"/>
          <w:lang w:val="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eastAsia="仿宋_GB2312"/>
          <w:color w:val="000000"/>
          <w:kern w:val="0"/>
          <w:szCs w:val="32"/>
          <w:highlight w:val="none"/>
          <w:shd w:val="clear" w:color="auto" w:fill="FFFFFF"/>
          <w:lang w:val="en-US" w:eastAsia="zh-CN"/>
        </w:rPr>
      </w:pPr>
      <w:r>
        <w:rPr>
          <w:rFonts w:hint="eastAsia"/>
          <w:color w:val="000000"/>
          <w:kern w:val="0"/>
          <w:szCs w:val="32"/>
          <w:highlight w:val="none"/>
          <w:shd w:val="clear" w:color="auto" w:fill="FFFFFF"/>
        </w:rPr>
        <w:t>我单位在项目资金使用上围绕“质量强市”开展工程质量监督工作，促进建筑市场更规范，消除受监工程不文明现象，确保工地扬尘治理以及安全,提升对受监工程的管理效率降低生产安全事故发生概率</w:t>
      </w:r>
      <w:r>
        <w:rPr>
          <w:rFonts w:hint="eastAsia"/>
          <w:color w:val="000000"/>
          <w:kern w:val="0"/>
          <w:szCs w:val="32"/>
          <w:highlight w:val="none"/>
          <w:shd w:val="clear" w:color="auto" w:fill="FFFFFF"/>
          <w:lang w:eastAsia="zh-CN"/>
        </w:rPr>
        <w:t>，</w:t>
      </w:r>
      <w:r>
        <w:rPr>
          <w:rFonts w:hint="eastAsia"/>
          <w:color w:val="000000"/>
          <w:kern w:val="0"/>
          <w:szCs w:val="32"/>
          <w:highlight w:val="none"/>
          <w:shd w:val="clear" w:color="auto" w:fill="FFFFFF"/>
          <w:lang w:val="en-US" w:eastAsia="zh-CN"/>
        </w:rPr>
        <w:t>加强建筑工地抽检抽测工作，</w:t>
      </w:r>
      <w:r>
        <w:rPr>
          <w:rFonts w:hint="eastAsia"/>
          <w:color w:val="000000"/>
          <w:kern w:val="0"/>
          <w:szCs w:val="32"/>
          <w:highlight w:val="none"/>
          <w:shd w:val="clear" w:color="auto" w:fill="FFFFFF"/>
        </w:rPr>
        <w:t>提升工程质量水平</w:t>
      </w:r>
      <w:r>
        <w:rPr>
          <w:rFonts w:hint="eastAsia"/>
          <w:color w:val="000000"/>
          <w:kern w:val="0"/>
          <w:szCs w:val="32"/>
          <w:highlight w:val="none"/>
          <w:shd w:val="clear" w:color="auto" w:fill="FFFFFF"/>
          <w:lang w:eastAsia="zh-CN"/>
        </w:rPr>
        <w:t>，</w:t>
      </w:r>
      <w:r>
        <w:rPr>
          <w:rFonts w:hint="eastAsia"/>
          <w:color w:val="000000"/>
          <w:kern w:val="0"/>
          <w:szCs w:val="32"/>
          <w:highlight w:val="none"/>
          <w:shd w:val="clear" w:color="auto" w:fill="FFFFFF"/>
        </w:rPr>
        <w:t>使全市工程质量水平有较大提升，确保</w:t>
      </w:r>
      <w:r>
        <w:rPr>
          <w:rFonts w:hint="eastAsia"/>
          <w:color w:val="000000"/>
          <w:kern w:val="0"/>
          <w:szCs w:val="32"/>
          <w:highlight w:val="none"/>
          <w:shd w:val="clear" w:color="auto" w:fill="FFFFFF"/>
          <w:lang w:val="en-US" w:eastAsia="zh-CN"/>
        </w:rPr>
        <w:t>建筑工地质量安全。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eastAsia="黑体"/>
          <w:color w:val="000000"/>
          <w:kern w:val="0"/>
          <w:szCs w:val="32"/>
          <w:shd w:val="clear" w:color="auto" w:fill="FFFFFF"/>
        </w:rPr>
      </w:pPr>
      <w:r>
        <w:rPr>
          <w:rFonts w:eastAsia="黑体"/>
          <w:color w:val="000000"/>
          <w:kern w:val="0"/>
          <w:szCs w:val="32"/>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color w:val="000000"/>
          <w:kern w:val="0"/>
          <w:szCs w:val="32"/>
          <w:shd w:val="clear" w:color="auto" w:fill="FFFFFF"/>
          <w:lang w:val="zh-CN"/>
        </w:rPr>
        <w:t>（一）评价结论。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rFonts w:hint="eastAsia"/>
          <w:color w:val="000000"/>
          <w:kern w:val="0"/>
          <w:szCs w:val="32"/>
          <w:shd w:val="clear" w:color="auto" w:fill="FFFFFF"/>
          <w:lang w:val="zh-CN"/>
        </w:rPr>
        <w:t>我单位具体履行全市建筑监督工作，对全市工程质量监督管理的措施组织实施，制定工程竣工验收备案管理，对建设工程质量实施日常监督和专项检查，对工程质量监督系统的工程质量投诉、举报、并对其调查、协调、仲裁、处理。运用安全大检查、专项检查、随机巡查等多层次检查方式，通过聘请技术专家共同开展检查，增加检查深度，推进受监工程安全文明施工标准化，保障受监工程安全生产形势平稳受控，资金发挥更好的作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color w:val="000000"/>
          <w:kern w:val="0"/>
          <w:szCs w:val="32"/>
          <w:shd w:val="clear" w:color="auto" w:fill="FFFFFF"/>
          <w:lang w:val="zh-CN"/>
        </w:rPr>
        <w:t>（二）存在问题。</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rFonts w:hint="eastAsia"/>
          <w:color w:val="000000"/>
          <w:kern w:val="0"/>
          <w:szCs w:val="32"/>
          <w:shd w:val="clear" w:color="auto" w:fill="FFFFFF"/>
          <w:lang w:val="zh-CN"/>
        </w:rPr>
        <w:t>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color w:val="000000"/>
          <w:kern w:val="0"/>
          <w:szCs w:val="32"/>
          <w:shd w:val="clear" w:color="auto" w:fill="FFFFFF"/>
          <w:lang w:val="zh-CN"/>
        </w:rPr>
        <w:t>（三）改进建议。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rFonts w:hint="eastAsia"/>
          <w:color w:val="000000"/>
          <w:kern w:val="0"/>
          <w:szCs w:val="32"/>
          <w:shd w:val="clear" w:color="auto" w:fill="FFFFFF"/>
          <w:lang w:val="zh-CN"/>
        </w:rPr>
        <w:t>请财政根据我单位开展工作的实际情况和发展，提高年初部门预算额度，保证我站正常运转。</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color w:val="000000"/>
          <w:kern w:val="0"/>
          <w:szCs w:val="32"/>
          <w:shd w:val="clear" w:color="auto" w:fill="FFFFFF"/>
          <w:lang w:val="zh-CN"/>
        </w:rPr>
      </w:pPr>
      <w:r>
        <w:rPr>
          <w:color w:val="000000"/>
          <w:kern w:val="0"/>
          <w:szCs w:val="32"/>
          <w:shd w:val="clear" w:color="auto" w:fill="FFFFFF"/>
          <w:lang w:val="zh-CN"/>
        </w:rPr>
        <w:t>附表：</w:t>
      </w:r>
    </w:p>
    <w:tbl>
      <w:tblPr>
        <w:tblStyle w:val="6"/>
        <w:tblpPr w:leftFromText="180" w:rightFromText="180" w:vertAnchor="text" w:horzAnchor="page" w:tblpX="1256" w:tblpY="221"/>
        <w:tblOverlap w:val="never"/>
        <w:tblW w:w="5171" w:type="pct"/>
        <w:tblInd w:w="0" w:type="dxa"/>
        <w:tblLayout w:type="autofit"/>
        <w:tblCellMar>
          <w:top w:w="0" w:type="dxa"/>
          <w:left w:w="108" w:type="dxa"/>
          <w:bottom w:w="0" w:type="dxa"/>
          <w:right w:w="108" w:type="dxa"/>
        </w:tblCellMar>
      </w:tblPr>
      <w:tblGrid>
        <w:gridCol w:w="2187"/>
        <w:gridCol w:w="1262"/>
        <w:gridCol w:w="1583"/>
        <w:gridCol w:w="1455"/>
        <w:gridCol w:w="1441"/>
        <w:gridCol w:w="1560"/>
        <w:gridCol w:w="233"/>
      </w:tblGrid>
      <w:tr>
        <w:tblPrEx>
          <w:tblCellMar>
            <w:top w:w="0" w:type="dxa"/>
            <w:left w:w="108" w:type="dxa"/>
            <w:bottom w:w="0" w:type="dxa"/>
            <w:right w:w="108" w:type="dxa"/>
          </w:tblCellMar>
        </w:tblPrEx>
        <w:trPr>
          <w:trHeight w:val="675" w:hRule="atLeast"/>
        </w:trPr>
        <w:tc>
          <w:tcPr>
            <w:tcW w:w="4879" w:type="pct"/>
            <w:gridSpan w:val="6"/>
            <w:tcBorders>
              <w:top w:val="nil"/>
              <w:left w:val="nil"/>
              <w:bottom w:val="nil"/>
              <w:right w:val="nil"/>
            </w:tcBorders>
            <w:shd w:val="clear" w:color="auto" w:fill="auto"/>
            <w:vAlign w:val="center"/>
          </w:tcPr>
          <w:p>
            <w:pPr>
              <w:widowControl/>
              <w:jc w:val="center"/>
              <w:textAlignment w:val="center"/>
              <w:rPr>
                <w:rFonts w:eastAsia="宋体"/>
                <w:b/>
                <w:color w:val="000000"/>
                <w:szCs w:val="32"/>
              </w:rPr>
            </w:pPr>
            <w:r>
              <w:rPr>
                <w:rFonts w:eastAsia="宋体"/>
                <w:b/>
                <w:color w:val="000000"/>
                <w:szCs w:val="32"/>
              </w:rPr>
              <w:t>2022年50万元以上（含）特定目标类部门预算项目绩效目标自评</w:t>
            </w:r>
          </w:p>
        </w:tc>
        <w:tc>
          <w:tcPr>
            <w:tcW w:w="120" w:type="pct"/>
            <w:tcBorders>
              <w:top w:val="nil"/>
              <w:left w:val="nil"/>
              <w:bottom w:val="nil"/>
              <w:right w:val="nil"/>
            </w:tcBorders>
            <w:shd w:val="clear" w:color="auto" w:fill="auto"/>
            <w:vAlign w:val="center"/>
          </w:tcPr>
          <w:p>
            <w:pPr>
              <w:widowControl/>
              <w:jc w:val="center"/>
              <w:textAlignment w:val="center"/>
              <w:rPr>
                <w:rFonts w:eastAsia="宋体"/>
                <w:b/>
                <w:color w:val="000000"/>
                <w:kern w:val="0"/>
                <w:szCs w:val="32"/>
              </w:rPr>
            </w:pPr>
          </w:p>
        </w:tc>
      </w:tr>
      <w:tr>
        <w:tblPrEx>
          <w:tblCellMar>
            <w:top w:w="0" w:type="dxa"/>
            <w:left w:w="108" w:type="dxa"/>
            <w:bottom w:w="0" w:type="dxa"/>
            <w:right w:w="108" w:type="dxa"/>
          </w:tblCellMar>
        </w:tblPrEx>
        <w:trPr>
          <w:gridAfter w:val="1"/>
          <w:wAfter w:w="120" w:type="pct"/>
          <w:trHeight w:val="254" w:hRule="atLeast"/>
        </w:trPr>
        <w:tc>
          <w:tcPr>
            <w:tcW w:w="17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rPr>
              <w:t>主管部门及代码</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color w:val="000000"/>
                <w:sz w:val="24"/>
              </w:rPr>
            </w:pPr>
            <w:r>
              <w:rPr>
                <w:color w:val="000000"/>
                <w:sz w:val="24"/>
              </w:rPr>
              <w:t>攀枝花市住房和城乡建设局</w:t>
            </w:r>
            <w:r>
              <w:rPr>
                <w:rFonts w:hint="eastAsia"/>
                <w:color w:val="000000"/>
                <w:sz w:val="24"/>
              </w:rPr>
              <w:t>801001</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rPr>
              <w:t>实施单位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sz w:val="24"/>
              </w:rPr>
              <w:t>攀枝花市建设工程质量安全站</w:t>
            </w:r>
          </w:p>
        </w:tc>
      </w:tr>
      <w:tr>
        <w:tblPrEx>
          <w:tblCellMar>
            <w:top w:w="0" w:type="dxa"/>
            <w:left w:w="108" w:type="dxa"/>
            <w:bottom w:w="0" w:type="dxa"/>
            <w:right w:w="108" w:type="dxa"/>
          </w:tblCellMar>
        </w:tblPrEx>
        <w:trPr>
          <w:gridAfter w:val="1"/>
          <w:wAfter w:w="120" w:type="pct"/>
          <w:trHeight w:val="341" w:hRule="atLeast"/>
        </w:trPr>
        <w:tc>
          <w:tcPr>
            <w:tcW w:w="17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rPr>
              <w:t>项目预算</w:t>
            </w:r>
            <w:r>
              <w:rPr>
                <w:color w:val="000000"/>
                <w:kern w:val="0"/>
                <w:sz w:val="24"/>
              </w:rPr>
              <w:br w:type="textWrapping"/>
            </w:r>
            <w:r>
              <w:rPr>
                <w:color w:val="000000"/>
                <w:kern w:val="0"/>
                <w:sz w:val="24"/>
              </w:rPr>
              <w:t>执行情况</w:t>
            </w:r>
            <w:r>
              <w:rPr>
                <w:color w:val="000000"/>
                <w:kern w:val="0"/>
                <w:sz w:val="24"/>
              </w:rPr>
              <w:br w:type="textWrapping"/>
            </w:r>
            <w:r>
              <w:rPr>
                <w:color w:val="000000"/>
                <w:kern w:val="0"/>
                <w:sz w:val="24"/>
              </w:rPr>
              <w:t>（万元）</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rPr>
              <w:t>预算数：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eastAsia="仿宋_GB2312"/>
                <w:color w:val="000000"/>
                <w:sz w:val="24"/>
                <w:lang w:val="en-US" w:eastAsia="zh-CN"/>
              </w:rPr>
            </w:pPr>
            <w:r>
              <w:rPr>
                <w:rFonts w:hint="eastAsia"/>
                <w:color w:val="000000"/>
                <w:sz w:val="24"/>
                <w:lang w:val="en-US" w:eastAsia="zh-CN"/>
              </w:rPr>
              <w:t>87.17</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rPr>
              <w:t>执行数：</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color w:val="000000"/>
                <w:sz w:val="24"/>
              </w:rPr>
            </w:pPr>
            <w:r>
              <w:rPr>
                <w:rFonts w:hint="eastAsia"/>
                <w:color w:val="000000"/>
                <w:sz w:val="24"/>
              </w:rPr>
              <w:t>87.17</w:t>
            </w:r>
          </w:p>
        </w:tc>
      </w:tr>
      <w:tr>
        <w:tblPrEx>
          <w:tblCellMar>
            <w:top w:w="0" w:type="dxa"/>
            <w:left w:w="108" w:type="dxa"/>
            <w:bottom w:w="0" w:type="dxa"/>
            <w:right w:w="108" w:type="dxa"/>
          </w:tblCellMar>
        </w:tblPrEx>
        <w:trPr>
          <w:gridAfter w:val="1"/>
          <w:wAfter w:w="120" w:type="pct"/>
          <w:trHeight w:val="577" w:hRule="atLeast"/>
        </w:trPr>
        <w:tc>
          <w:tcPr>
            <w:tcW w:w="17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rPr>
            </w:pPr>
            <w:r>
              <w:rPr>
                <w:color w:val="000000"/>
                <w:kern w:val="0"/>
                <w:sz w:val="24"/>
              </w:rPr>
              <w:t>其中：</w:t>
            </w:r>
          </w:p>
          <w:p>
            <w:pPr>
              <w:widowControl/>
              <w:spacing w:line="320" w:lineRule="exact"/>
              <w:jc w:val="left"/>
              <w:textAlignment w:val="center"/>
              <w:rPr>
                <w:color w:val="000000"/>
                <w:sz w:val="24"/>
              </w:rPr>
            </w:pPr>
            <w:r>
              <w:rPr>
                <w:color w:val="000000"/>
                <w:kern w:val="0"/>
                <w:sz w:val="24"/>
              </w:rPr>
              <w:t>财政拨款</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rFonts w:hint="eastAsia"/>
                <w:color w:val="000000"/>
                <w:sz w:val="24"/>
              </w:rPr>
              <w:t>87.17</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rPr>
            </w:pPr>
            <w:r>
              <w:rPr>
                <w:color w:val="000000"/>
                <w:kern w:val="0"/>
                <w:sz w:val="24"/>
              </w:rPr>
              <w:t>其中：</w:t>
            </w:r>
          </w:p>
          <w:p>
            <w:pPr>
              <w:widowControl/>
              <w:spacing w:line="320" w:lineRule="exact"/>
              <w:jc w:val="left"/>
              <w:textAlignment w:val="center"/>
              <w:rPr>
                <w:color w:val="000000"/>
                <w:sz w:val="24"/>
              </w:rPr>
            </w:pPr>
            <w:r>
              <w:rPr>
                <w:color w:val="000000"/>
                <w:kern w:val="0"/>
                <w:sz w:val="24"/>
              </w:rPr>
              <w:t>财政拨款</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color w:val="000000"/>
                <w:sz w:val="24"/>
              </w:rPr>
            </w:pPr>
            <w:r>
              <w:rPr>
                <w:rFonts w:hint="eastAsia"/>
                <w:color w:val="000000"/>
                <w:sz w:val="24"/>
              </w:rPr>
              <w:t>87.17</w:t>
            </w:r>
          </w:p>
        </w:tc>
      </w:tr>
      <w:tr>
        <w:tblPrEx>
          <w:tblCellMar>
            <w:top w:w="0" w:type="dxa"/>
            <w:left w:w="108" w:type="dxa"/>
            <w:bottom w:w="0" w:type="dxa"/>
            <w:right w:w="108" w:type="dxa"/>
          </w:tblCellMar>
        </w:tblPrEx>
        <w:trPr>
          <w:gridAfter w:val="1"/>
          <w:wAfter w:w="120" w:type="pct"/>
          <w:trHeight w:val="341" w:hRule="atLeast"/>
        </w:trPr>
        <w:tc>
          <w:tcPr>
            <w:tcW w:w="17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rPr>
              <w:t>其他资金</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rPr>
              <w:t>其他资金</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p>
        </w:tc>
      </w:tr>
      <w:tr>
        <w:tblPrEx>
          <w:tblCellMar>
            <w:top w:w="0" w:type="dxa"/>
            <w:left w:w="108" w:type="dxa"/>
            <w:bottom w:w="0" w:type="dxa"/>
            <w:right w:w="108" w:type="dxa"/>
          </w:tblCellMar>
        </w:tblPrEx>
        <w:trPr>
          <w:gridAfter w:val="1"/>
          <w:wAfter w:w="120" w:type="pct"/>
          <w:trHeight w:val="217" w:hRule="atLeast"/>
        </w:trPr>
        <w:tc>
          <w:tcPr>
            <w:tcW w:w="1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rPr>
            </w:pPr>
            <w:r>
              <w:rPr>
                <w:color w:val="000000"/>
                <w:kern w:val="0"/>
                <w:sz w:val="24"/>
              </w:rPr>
              <w:t>年度总体目标</w:t>
            </w:r>
          </w:p>
          <w:p>
            <w:pPr>
              <w:widowControl/>
              <w:spacing w:line="320" w:lineRule="exact"/>
              <w:jc w:val="center"/>
              <w:textAlignment w:val="center"/>
              <w:rPr>
                <w:color w:val="000000"/>
                <w:sz w:val="24"/>
              </w:rPr>
            </w:pPr>
            <w:r>
              <w:rPr>
                <w:color w:val="000000"/>
                <w:kern w:val="0"/>
                <w:sz w:val="24"/>
              </w:rPr>
              <w:t>完成情况</w:t>
            </w:r>
          </w:p>
        </w:tc>
        <w:tc>
          <w:tcPr>
            <w:tcW w:w="22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rPr>
              <w:t>预期目标</w:t>
            </w:r>
          </w:p>
        </w:tc>
        <w:tc>
          <w:tcPr>
            <w:tcW w:w="1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rPr>
              <w:t>目标实际完成情况</w:t>
            </w:r>
          </w:p>
        </w:tc>
      </w:tr>
      <w:tr>
        <w:tblPrEx>
          <w:tblCellMar>
            <w:top w:w="0" w:type="dxa"/>
            <w:left w:w="108" w:type="dxa"/>
            <w:bottom w:w="0" w:type="dxa"/>
            <w:right w:w="108" w:type="dxa"/>
          </w:tblCellMar>
        </w:tblPrEx>
        <w:trPr>
          <w:gridAfter w:val="1"/>
          <w:wAfter w:w="120" w:type="pct"/>
          <w:trHeight w:val="1870" w:hRule="atLeast"/>
        </w:trPr>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2211"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color w:val="000000"/>
                <w:sz w:val="24"/>
              </w:rPr>
            </w:pPr>
            <w:r>
              <w:rPr>
                <w:rFonts w:hint="eastAsia"/>
                <w:color w:val="000000"/>
                <w:sz w:val="24"/>
              </w:rPr>
              <w:t>单位因工作需要经攀枝花市人力资源和社会保障局批准聘用专业技术人员25人，强化工程建设质量管理，强化工程质量检测，加快推进工程质量监管</w:t>
            </w:r>
          </w:p>
          <w:p>
            <w:pPr>
              <w:widowControl/>
              <w:spacing w:line="320" w:lineRule="exact"/>
              <w:jc w:val="left"/>
              <w:textAlignment w:val="top"/>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tc>
        <w:tc>
          <w:tcPr>
            <w:tcW w:w="1542"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color w:val="000000"/>
                <w:sz w:val="24"/>
              </w:rPr>
            </w:pPr>
            <w:r>
              <w:rPr>
                <w:rFonts w:hint="eastAsia"/>
                <w:color w:val="000000"/>
                <w:sz w:val="24"/>
              </w:rPr>
              <w:t>经攀枝花市人力资源和社会保障局批准聘用</w:t>
            </w:r>
            <w:r>
              <w:rPr>
                <w:rFonts w:hint="eastAsia"/>
                <w:color w:val="000000"/>
                <w:sz w:val="24"/>
                <w:lang w:val="en-US" w:eastAsia="zh-CN"/>
              </w:rPr>
              <w:t>了</w:t>
            </w:r>
            <w:r>
              <w:rPr>
                <w:rFonts w:hint="eastAsia"/>
                <w:color w:val="000000"/>
                <w:sz w:val="24"/>
              </w:rPr>
              <w:t>专业技术人员25人，强化工程建设质量管理，强化工程质量检测，加快推进工程质量监管</w:t>
            </w:r>
          </w:p>
          <w:p>
            <w:pPr>
              <w:widowControl/>
              <w:spacing w:line="320" w:lineRule="exact"/>
              <w:jc w:val="left"/>
              <w:textAlignment w:val="top"/>
              <w:rPr>
                <w:color w:val="000000"/>
                <w:sz w:val="24"/>
              </w:rPr>
            </w:pPr>
          </w:p>
        </w:tc>
      </w:tr>
      <w:tr>
        <w:tblPrEx>
          <w:tblCellMar>
            <w:top w:w="0" w:type="dxa"/>
            <w:left w:w="108" w:type="dxa"/>
            <w:bottom w:w="0" w:type="dxa"/>
            <w:right w:w="108" w:type="dxa"/>
          </w:tblCellMar>
        </w:tblPrEx>
        <w:trPr>
          <w:gridAfter w:val="1"/>
          <w:wAfter w:w="120" w:type="pct"/>
          <w:trHeight w:val="738" w:hRule="atLeast"/>
        </w:trPr>
        <w:tc>
          <w:tcPr>
            <w:tcW w:w="1125"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rPr>
              <w:t>年度绩效指标完成情况</w:t>
            </w:r>
          </w:p>
        </w:tc>
        <w:tc>
          <w:tcPr>
            <w:tcW w:w="648"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rPr>
            </w:pPr>
            <w:r>
              <w:rPr>
                <w:color w:val="000000"/>
                <w:kern w:val="0"/>
                <w:sz w:val="28"/>
                <w:szCs w:val="28"/>
              </w:rPr>
              <w:t>一级</w:t>
            </w:r>
          </w:p>
          <w:p>
            <w:pPr>
              <w:widowControl/>
              <w:spacing w:line="320" w:lineRule="exact"/>
              <w:jc w:val="center"/>
              <w:textAlignment w:val="center"/>
              <w:rPr>
                <w:color w:val="000000"/>
                <w:sz w:val="28"/>
                <w:szCs w:val="28"/>
              </w:rPr>
            </w:pPr>
            <w:r>
              <w:rPr>
                <w:color w:val="000000"/>
                <w:kern w:val="0"/>
                <w:sz w:val="28"/>
                <w:szCs w:val="28"/>
              </w:rPr>
              <w:t>指标</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rPr>
            </w:pPr>
            <w:r>
              <w:rPr>
                <w:color w:val="000000"/>
                <w:kern w:val="0"/>
                <w:sz w:val="28"/>
                <w:szCs w:val="28"/>
              </w:rPr>
              <w:t>二级</w:t>
            </w:r>
          </w:p>
          <w:p>
            <w:pPr>
              <w:widowControl/>
              <w:spacing w:line="320" w:lineRule="exact"/>
              <w:jc w:val="center"/>
              <w:textAlignment w:val="center"/>
              <w:rPr>
                <w:color w:val="000000"/>
                <w:sz w:val="28"/>
                <w:szCs w:val="28"/>
              </w:rPr>
            </w:pPr>
            <w:r>
              <w:rPr>
                <w:color w:val="000000"/>
                <w:kern w:val="0"/>
                <w:sz w:val="28"/>
                <w:szCs w:val="28"/>
              </w:rPr>
              <w:t>指标</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rPr>
            </w:pPr>
            <w:r>
              <w:rPr>
                <w:color w:val="000000"/>
                <w:kern w:val="0"/>
                <w:sz w:val="28"/>
                <w:szCs w:val="28"/>
              </w:rPr>
              <w:t>三级</w:t>
            </w:r>
          </w:p>
          <w:p>
            <w:pPr>
              <w:widowControl/>
              <w:spacing w:line="320" w:lineRule="exact"/>
              <w:jc w:val="center"/>
              <w:textAlignment w:val="center"/>
              <w:rPr>
                <w:color w:val="000000"/>
                <w:sz w:val="28"/>
                <w:szCs w:val="28"/>
              </w:rPr>
            </w:pPr>
            <w:r>
              <w:rPr>
                <w:color w:val="000000"/>
                <w:kern w:val="0"/>
                <w:sz w:val="28"/>
                <w:szCs w:val="28"/>
              </w:rPr>
              <w:t>指标</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rPr>
              <w:t>预期指标值</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rPr>
              <w:t>实际完成指标值</w:t>
            </w:r>
          </w:p>
        </w:tc>
      </w:tr>
      <w:tr>
        <w:tblPrEx>
          <w:tblCellMar>
            <w:top w:w="0" w:type="dxa"/>
            <w:left w:w="108" w:type="dxa"/>
            <w:bottom w:w="0" w:type="dxa"/>
            <w:right w:w="108" w:type="dxa"/>
          </w:tblCellMar>
        </w:tblPrEx>
        <w:trPr>
          <w:gridAfter w:val="1"/>
          <w:wAfter w:w="120" w:type="pct"/>
          <w:trHeight w:val="480" w:hRule="atLeast"/>
        </w:trPr>
        <w:tc>
          <w:tcPr>
            <w:tcW w:w="1125"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color w:val="000000"/>
                <w:kern w:val="0"/>
                <w:sz w:val="28"/>
                <w:szCs w:val="28"/>
              </w:rPr>
              <w:t>完成</w:t>
            </w:r>
          </w:p>
          <w:p>
            <w:pPr>
              <w:widowControl/>
              <w:spacing w:line="320" w:lineRule="exact"/>
              <w:jc w:val="center"/>
              <w:textAlignment w:val="bottom"/>
              <w:rPr>
                <w:color w:val="000000"/>
                <w:sz w:val="28"/>
                <w:szCs w:val="28"/>
              </w:rPr>
            </w:pPr>
            <w:r>
              <w:rPr>
                <w:color w:val="000000"/>
                <w:kern w:val="0"/>
                <w:sz w:val="28"/>
                <w:szCs w:val="28"/>
              </w:rPr>
              <w:t>指标</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8"/>
                <w:szCs w:val="28"/>
              </w:rPr>
            </w:pPr>
            <w:r>
              <w:rPr>
                <w:color w:val="000000"/>
                <w:kern w:val="0"/>
                <w:sz w:val="28"/>
                <w:szCs w:val="28"/>
              </w:rPr>
              <w:t>数量指标</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聘用专业技术人员工资及社保</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lang w:val="en-US" w:eastAsia="zh-CN"/>
              </w:rPr>
              <w:t>87.17</w:t>
            </w:r>
            <w:r>
              <w:rPr>
                <w:rFonts w:hint="eastAsia"/>
                <w:color w:val="000000"/>
                <w:kern w:val="0"/>
                <w:sz w:val="28"/>
                <w:szCs w:val="28"/>
              </w:rPr>
              <w:t>万元</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87.17万元</w:t>
            </w:r>
          </w:p>
        </w:tc>
      </w:tr>
      <w:tr>
        <w:tblPrEx>
          <w:tblCellMar>
            <w:top w:w="0" w:type="dxa"/>
            <w:left w:w="108" w:type="dxa"/>
            <w:bottom w:w="0" w:type="dxa"/>
            <w:right w:w="108" w:type="dxa"/>
          </w:tblCellMar>
        </w:tblPrEx>
        <w:trPr>
          <w:gridAfter w:val="1"/>
          <w:wAfter w:w="120" w:type="pct"/>
          <w:trHeight w:val="480" w:hRule="atLeast"/>
        </w:trPr>
        <w:tc>
          <w:tcPr>
            <w:tcW w:w="1125"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8"/>
                <w:szCs w:val="28"/>
              </w:rPr>
            </w:pPr>
            <w:r>
              <w:rPr>
                <w:color w:val="000000"/>
                <w:kern w:val="0"/>
                <w:sz w:val="28"/>
                <w:szCs w:val="28"/>
              </w:rPr>
              <w:t>质量指标</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保证建设工程安全质量</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保证聘用人员技术指标合格，提高建设工程安全质量水平</w:t>
            </w:r>
          </w:p>
          <w:p>
            <w:pPr>
              <w:widowControl/>
              <w:spacing w:line="320" w:lineRule="exact"/>
              <w:jc w:val="center"/>
              <w:textAlignment w:val="bottom"/>
              <w:rPr>
                <w:color w:val="000000"/>
                <w:kern w:val="0"/>
                <w:sz w:val="28"/>
                <w:szCs w:val="28"/>
              </w:rPr>
            </w:pP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保证聘用人员技术指标合格，提高建设工程安全质量水平</w:t>
            </w:r>
          </w:p>
        </w:tc>
      </w:tr>
      <w:tr>
        <w:tblPrEx>
          <w:tblCellMar>
            <w:top w:w="0" w:type="dxa"/>
            <w:left w:w="108" w:type="dxa"/>
            <w:bottom w:w="0" w:type="dxa"/>
            <w:right w:w="108" w:type="dxa"/>
          </w:tblCellMar>
        </w:tblPrEx>
        <w:trPr>
          <w:gridAfter w:val="1"/>
          <w:wAfter w:w="120" w:type="pct"/>
          <w:trHeight w:val="480" w:hRule="atLeast"/>
        </w:trPr>
        <w:tc>
          <w:tcPr>
            <w:tcW w:w="1125"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8"/>
                <w:szCs w:val="28"/>
              </w:rPr>
            </w:pPr>
            <w:r>
              <w:rPr>
                <w:color w:val="000000"/>
                <w:kern w:val="0"/>
                <w:sz w:val="28"/>
                <w:szCs w:val="28"/>
              </w:rPr>
              <w:t>时效指标</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eastAsia="仿宋_GB2312"/>
                <w:color w:val="000000"/>
                <w:kern w:val="0"/>
                <w:sz w:val="28"/>
                <w:szCs w:val="28"/>
                <w:lang w:val="en-US" w:eastAsia="zh-CN"/>
              </w:rPr>
            </w:pPr>
            <w:r>
              <w:rPr>
                <w:rFonts w:hint="eastAsia"/>
                <w:color w:val="000000"/>
                <w:kern w:val="0"/>
                <w:sz w:val="28"/>
                <w:szCs w:val="28"/>
              </w:rPr>
              <w:t>2022年</w:t>
            </w:r>
            <w:r>
              <w:rPr>
                <w:rFonts w:hint="eastAsia"/>
                <w:color w:val="000000"/>
                <w:kern w:val="0"/>
                <w:sz w:val="28"/>
                <w:szCs w:val="28"/>
                <w:lang w:val="en-US" w:eastAsia="zh-CN"/>
              </w:rPr>
              <w:t>年度内完成</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eastAsia="仿宋_GB2312"/>
                <w:color w:val="000000"/>
                <w:kern w:val="0"/>
                <w:sz w:val="28"/>
                <w:szCs w:val="28"/>
                <w:lang w:val="en-US" w:eastAsia="zh-CN"/>
              </w:rPr>
            </w:pPr>
            <w:r>
              <w:rPr>
                <w:rFonts w:hint="eastAsia"/>
                <w:color w:val="000000"/>
                <w:kern w:val="0"/>
                <w:sz w:val="28"/>
                <w:szCs w:val="28"/>
                <w:lang w:val="en-US" w:eastAsia="zh-CN"/>
              </w:rPr>
              <w:t>2022年全年</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eastAsia="仿宋_GB2312"/>
                <w:color w:val="000000"/>
                <w:kern w:val="0"/>
                <w:sz w:val="28"/>
                <w:szCs w:val="28"/>
                <w:lang w:val="en-US" w:eastAsia="zh-CN"/>
              </w:rPr>
            </w:pPr>
            <w:r>
              <w:rPr>
                <w:rFonts w:hint="eastAsia"/>
                <w:color w:val="000000"/>
                <w:kern w:val="0"/>
                <w:sz w:val="28"/>
                <w:szCs w:val="28"/>
                <w:lang w:val="en-US" w:eastAsia="zh-CN"/>
              </w:rPr>
              <w:t>2022年全年</w:t>
            </w:r>
          </w:p>
        </w:tc>
      </w:tr>
      <w:tr>
        <w:tblPrEx>
          <w:tblCellMar>
            <w:top w:w="0" w:type="dxa"/>
            <w:left w:w="108" w:type="dxa"/>
            <w:bottom w:w="0" w:type="dxa"/>
            <w:right w:w="108" w:type="dxa"/>
          </w:tblCellMar>
        </w:tblPrEx>
        <w:trPr>
          <w:gridAfter w:val="1"/>
          <w:wAfter w:w="120" w:type="pct"/>
          <w:trHeight w:val="480" w:hRule="atLeast"/>
        </w:trPr>
        <w:tc>
          <w:tcPr>
            <w:tcW w:w="1125"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8"/>
                <w:szCs w:val="28"/>
              </w:rPr>
            </w:pPr>
            <w:r>
              <w:rPr>
                <w:color w:val="000000"/>
                <w:kern w:val="0"/>
                <w:sz w:val="28"/>
                <w:szCs w:val="28"/>
              </w:rPr>
              <w:t>成本指标</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color w:val="000000"/>
                <w:kern w:val="0"/>
                <w:sz w:val="28"/>
                <w:szCs w:val="28"/>
              </w:rPr>
              <w:t>付</w:t>
            </w:r>
            <w:r>
              <w:rPr>
                <w:rFonts w:hint="eastAsia"/>
                <w:color w:val="000000"/>
                <w:kern w:val="0"/>
                <w:sz w:val="28"/>
                <w:szCs w:val="28"/>
              </w:rPr>
              <w:t>2022年聘用人员工资及社保</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聘用人员工资及社保87.17万元</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聘用人员工资及社保87.17万元</w:t>
            </w:r>
          </w:p>
        </w:tc>
      </w:tr>
      <w:tr>
        <w:tblPrEx>
          <w:tblCellMar>
            <w:top w:w="0" w:type="dxa"/>
            <w:left w:w="108" w:type="dxa"/>
            <w:bottom w:w="0" w:type="dxa"/>
            <w:right w:w="108" w:type="dxa"/>
          </w:tblCellMar>
        </w:tblPrEx>
        <w:trPr>
          <w:gridAfter w:val="1"/>
          <w:wAfter w:w="120" w:type="pct"/>
          <w:trHeight w:val="1105" w:hRule="atLeast"/>
        </w:trPr>
        <w:tc>
          <w:tcPr>
            <w:tcW w:w="1125"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8"/>
                <w:szCs w:val="28"/>
              </w:rPr>
            </w:pPr>
            <w:r>
              <w:rPr>
                <w:color w:val="000000"/>
                <w:kern w:val="0"/>
                <w:sz w:val="28"/>
                <w:szCs w:val="28"/>
              </w:rPr>
              <w:t>效益</w:t>
            </w:r>
            <w:r>
              <w:rPr>
                <w:color w:val="000000"/>
                <w:kern w:val="0"/>
                <w:sz w:val="28"/>
                <w:szCs w:val="28"/>
              </w:rPr>
              <w:br w:type="textWrapping"/>
            </w:r>
            <w:r>
              <w:rPr>
                <w:color w:val="000000"/>
                <w:kern w:val="0"/>
                <w:sz w:val="28"/>
                <w:szCs w:val="28"/>
              </w:rPr>
              <w:t>指标</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8"/>
                <w:szCs w:val="28"/>
              </w:rPr>
            </w:pPr>
            <w:r>
              <w:rPr>
                <w:color w:val="000000"/>
                <w:kern w:val="0"/>
                <w:sz w:val="28"/>
                <w:szCs w:val="28"/>
              </w:rPr>
              <w:t>经济效益指标</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保障人员经费按时发放</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100%</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100%</w:t>
            </w:r>
          </w:p>
        </w:tc>
      </w:tr>
      <w:tr>
        <w:tblPrEx>
          <w:tblCellMar>
            <w:top w:w="0" w:type="dxa"/>
            <w:left w:w="108" w:type="dxa"/>
            <w:bottom w:w="0" w:type="dxa"/>
            <w:right w:w="108" w:type="dxa"/>
          </w:tblCellMar>
        </w:tblPrEx>
        <w:trPr>
          <w:gridAfter w:val="1"/>
          <w:wAfter w:w="120" w:type="pct"/>
          <w:trHeight w:val="830" w:hRule="atLeast"/>
        </w:trPr>
        <w:tc>
          <w:tcPr>
            <w:tcW w:w="1125"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8"/>
                <w:szCs w:val="28"/>
              </w:rPr>
            </w:pPr>
            <w:r>
              <w:rPr>
                <w:color w:val="000000"/>
                <w:kern w:val="0"/>
                <w:sz w:val="28"/>
                <w:szCs w:val="28"/>
              </w:rPr>
              <w:t>社会效益指标</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强化工程质量检测</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100%</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100%</w:t>
            </w:r>
          </w:p>
        </w:tc>
      </w:tr>
      <w:tr>
        <w:tblPrEx>
          <w:tblCellMar>
            <w:top w:w="0" w:type="dxa"/>
            <w:left w:w="108" w:type="dxa"/>
            <w:bottom w:w="0" w:type="dxa"/>
            <w:right w:w="108" w:type="dxa"/>
          </w:tblCellMar>
        </w:tblPrEx>
        <w:trPr>
          <w:gridAfter w:val="1"/>
          <w:wAfter w:w="120" w:type="pct"/>
          <w:trHeight w:val="800" w:hRule="atLeast"/>
        </w:trPr>
        <w:tc>
          <w:tcPr>
            <w:tcW w:w="1125"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8"/>
                <w:szCs w:val="28"/>
              </w:rPr>
            </w:pPr>
            <w:r>
              <w:rPr>
                <w:color w:val="000000"/>
                <w:kern w:val="0"/>
                <w:sz w:val="28"/>
                <w:szCs w:val="28"/>
              </w:rPr>
              <w:t>可持续影响指标</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工程质量水平</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eastAsia="仿宋_GB2312"/>
                <w:color w:val="000000"/>
                <w:kern w:val="0"/>
                <w:sz w:val="28"/>
                <w:szCs w:val="28"/>
                <w:lang w:val="en-US" w:eastAsia="zh-CN"/>
              </w:rPr>
            </w:pPr>
            <w:r>
              <w:rPr>
                <w:rFonts w:hint="eastAsia"/>
                <w:color w:val="000000"/>
                <w:kern w:val="0"/>
                <w:sz w:val="28"/>
                <w:szCs w:val="28"/>
                <w:lang w:val="en-US" w:eastAsia="zh-CN"/>
              </w:rPr>
              <w:t>100%</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100%</w:t>
            </w:r>
          </w:p>
        </w:tc>
      </w:tr>
      <w:tr>
        <w:tblPrEx>
          <w:tblCellMar>
            <w:top w:w="0" w:type="dxa"/>
            <w:left w:w="108" w:type="dxa"/>
            <w:bottom w:w="0" w:type="dxa"/>
            <w:right w:w="108" w:type="dxa"/>
          </w:tblCellMar>
        </w:tblPrEx>
        <w:trPr>
          <w:gridAfter w:val="1"/>
          <w:wAfter w:w="120" w:type="pct"/>
          <w:trHeight w:val="830" w:hRule="atLeast"/>
        </w:trPr>
        <w:tc>
          <w:tcPr>
            <w:tcW w:w="1125"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rPr>
              <w:t>满意</w:t>
            </w:r>
            <w:r>
              <w:rPr>
                <w:color w:val="000000"/>
                <w:kern w:val="0"/>
                <w:sz w:val="28"/>
                <w:szCs w:val="28"/>
              </w:rPr>
              <w:br w:type="textWrapping"/>
            </w:r>
            <w:r>
              <w:rPr>
                <w:color w:val="000000"/>
                <w:kern w:val="0"/>
                <w:sz w:val="28"/>
                <w:szCs w:val="28"/>
              </w:rPr>
              <w:t>度指标</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color w:val="000000"/>
                <w:kern w:val="0"/>
                <w:sz w:val="28"/>
                <w:szCs w:val="28"/>
              </w:rPr>
              <w:t>满意度</w:t>
            </w:r>
          </w:p>
          <w:p>
            <w:pPr>
              <w:widowControl/>
              <w:spacing w:line="320" w:lineRule="exact"/>
              <w:jc w:val="center"/>
              <w:textAlignment w:val="bottom"/>
              <w:rPr>
                <w:color w:val="000000"/>
                <w:sz w:val="28"/>
                <w:szCs w:val="28"/>
              </w:rPr>
            </w:pPr>
            <w:r>
              <w:rPr>
                <w:color w:val="000000"/>
                <w:kern w:val="0"/>
                <w:sz w:val="28"/>
                <w:szCs w:val="28"/>
              </w:rPr>
              <w:t>指标</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lang w:val="en-US" w:eastAsia="zh-CN"/>
              </w:rPr>
              <w:t>群众</w:t>
            </w:r>
            <w:r>
              <w:rPr>
                <w:color w:val="000000"/>
                <w:kern w:val="0"/>
                <w:sz w:val="28"/>
                <w:szCs w:val="28"/>
              </w:rPr>
              <w:t>满意度</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100%</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rPr>
            </w:pPr>
            <w:r>
              <w:rPr>
                <w:rFonts w:hint="eastAsia"/>
                <w:color w:val="000000"/>
                <w:kern w:val="0"/>
                <w:sz w:val="28"/>
                <w:szCs w:val="28"/>
              </w:rPr>
              <w:t>100%</w:t>
            </w:r>
          </w:p>
        </w:tc>
      </w:tr>
    </w:tbl>
    <w:p>
      <w:pPr>
        <w:widowControl/>
        <w:adjustRightInd w:val="0"/>
        <w:snapToGrid w:val="0"/>
        <w:spacing w:line="580" w:lineRule="exact"/>
        <w:contextualSpacing/>
        <w:jc w:val="left"/>
        <w:rPr>
          <w:color w:val="000000"/>
          <w:kern w:val="0"/>
          <w:szCs w:val="32"/>
          <w:shd w:val="clear" w:color="auto" w:fill="FFFFFF"/>
        </w:rPr>
      </w:pPr>
      <w:r>
        <w:rPr>
          <w:color w:val="000000"/>
          <w:kern w:val="0"/>
          <w:szCs w:val="32"/>
          <w:shd w:val="clear" w:color="auto" w:fill="FFFFFF"/>
        </w:rPr>
        <w:t>（注：有两个及以上50万元以上（含）特定目标类部门预算项目的，需分别开展绩效目标自评并填写附表）</w:t>
      </w:r>
    </w:p>
    <w:sectPr>
      <w:headerReference r:id="rId3" w:type="default"/>
      <w:footerReference r:id="rId4" w:type="even"/>
      <w:pgSz w:w="11906" w:h="16838"/>
      <w:pgMar w:top="907" w:right="1361" w:bottom="851" w:left="1361" w:header="851" w:footer="992" w:gutter="0"/>
      <w:pgBorders>
        <w:top w:val="none" w:sz="0" w:space="0"/>
        <w:left w:val="none" w:sz="0" w:space="0"/>
        <w:bottom w:val="none" w:sz="0" w:space="0"/>
        <w:right w:val="none" w:sz="0" w:space="0"/>
      </w:pgBorders>
      <w:pgNumType w:fmt="numberInDash" w:start="12"/>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831518"/>
    </w:sdtPr>
    <w:sdtContent>
      <w:p>
        <w:pPr>
          <w:pStyle w:val="4"/>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p>
    <w:pPr>
      <w:pStyle w:val="4"/>
      <w:tabs>
        <w:tab w:val="right" w:pos="9184"/>
        <w:tab w:val="clear" w:pos="4153"/>
        <w:tab w:val="clear" w:pos="8306"/>
      </w:tabs>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94925"/>
    <w:multiLevelType w:val="singleLevel"/>
    <w:tmpl w:val="3E794925"/>
    <w:lvl w:ilvl="0" w:tentative="0">
      <w:start w:val="3"/>
      <w:numFmt w:val="chineseCounting"/>
      <w:suff w:val="nothing"/>
      <w:lvlText w:val="（%1）"/>
      <w:lvlJc w:val="left"/>
      <w:rPr>
        <w:rFonts w:hint="eastAsia"/>
      </w:rPr>
    </w:lvl>
  </w:abstractNum>
  <w:abstractNum w:abstractNumId="1">
    <w:nsid w:val="72AD2A1B"/>
    <w:multiLevelType w:val="singleLevel"/>
    <w:tmpl w:val="72AD2A1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EyYTE3YWFhZmQzMjAwNzNkMDRmMTQwN2ZhZDkzZTgifQ=="/>
  </w:docVars>
  <w:rsids>
    <w:rsidRoot w:val="00EC0174"/>
    <w:rsid w:val="00006E4D"/>
    <w:rsid w:val="00021652"/>
    <w:rsid w:val="00030311"/>
    <w:rsid w:val="00030782"/>
    <w:rsid w:val="00030B66"/>
    <w:rsid w:val="00060ED4"/>
    <w:rsid w:val="0006102A"/>
    <w:rsid w:val="00065B0F"/>
    <w:rsid w:val="00065E7E"/>
    <w:rsid w:val="000820BB"/>
    <w:rsid w:val="0008241B"/>
    <w:rsid w:val="00092280"/>
    <w:rsid w:val="00097FAE"/>
    <w:rsid w:val="000A3233"/>
    <w:rsid w:val="000A7CE3"/>
    <w:rsid w:val="000B04D6"/>
    <w:rsid w:val="000B15CE"/>
    <w:rsid w:val="000C40C6"/>
    <w:rsid w:val="000C5A1D"/>
    <w:rsid w:val="000C79C1"/>
    <w:rsid w:val="000D18F4"/>
    <w:rsid w:val="000D208A"/>
    <w:rsid w:val="000E037E"/>
    <w:rsid w:val="000F659A"/>
    <w:rsid w:val="000F6B5F"/>
    <w:rsid w:val="000F77B0"/>
    <w:rsid w:val="0010235D"/>
    <w:rsid w:val="00103A47"/>
    <w:rsid w:val="00106D4D"/>
    <w:rsid w:val="001119A2"/>
    <w:rsid w:val="001221D6"/>
    <w:rsid w:val="0012510A"/>
    <w:rsid w:val="00125F67"/>
    <w:rsid w:val="001261AE"/>
    <w:rsid w:val="001348A4"/>
    <w:rsid w:val="0014117C"/>
    <w:rsid w:val="00146FE8"/>
    <w:rsid w:val="0014767B"/>
    <w:rsid w:val="00147AED"/>
    <w:rsid w:val="00172E9B"/>
    <w:rsid w:val="00177AAF"/>
    <w:rsid w:val="00183850"/>
    <w:rsid w:val="00184D9F"/>
    <w:rsid w:val="001A4749"/>
    <w:rsid w:val="001A4842"/>
    <w:rsid w:val="001A5833"/>
    <w:rsid w:val="001C2158"/>
    <w:rsid w:val="001C51F2"/>
    <w:rsid w:val="001C73AB"/>
    <w:rsid w:val="001D2EA4"/>
    <w:rsid w:val="001F47CE"/>
    <w:rsid w:val="001F5776"/>
    <w:rsid w:val="0020620D"/>
    <w:rsid w:val="002069BC"/>
    <w:rsid w:val="002069EB"/>
    <w:rsid w:val="002076EC"/>
    <w:rsid w:val="002201B0"/>
    <w:rsid w:val="00220900"/>
    <w:rsid w:val="0022307E"/>
    <w:rsid w:val="00224D05"/>
    <w:rsid w:val="002323A3"/>
    <w:rsid w:val="00236EF7"/>
    <w:rsid w:val="0024058A"/>
    <w:rsid w:val="002410C0"/>
    <w:rsid w:val="00252894"/>
    <w:rsid w:val="00253FA6"/>
    <w:rsid w:val="00254728"/>
    <w:rsid w:val="002550E7"/>
    <w:rsid w:val="002558D4"/>
    <w:rsid w:val="002560E2"/>
    <w:rsid w:val="00264CFA"/>
    <w:rsid w:val="00270DD7"/>
    <w:rsid w:val="00276F4A"/>
    <w:rsid w:val="00280BFB"/>
    <w:rsid w:val="00280C88"/>
    <w:rsid w:val="002973A4"/>
    <w:rsid w:val="002A0195"/>
    <w:rsid w:val="002B5B34"/>
    <w:rsid w:val="002B6906"/>
    <w:rsid w:val="002B7215"/>
    <w:rsid w:val="002C0AFD"/>
    <w:rsid w:val="002C59D0"/>
    <w:rsid w:val="002D1A18"/>
    <w:rsid w:val="002D6C79"/>
    <w:rsid w:val="002E09F1"/>
    <w:rsid w:val="002E1104"/>
    <w:rsid w:val="002E3FDD"/>
    <w:rsid w:val="00300EF4"/>
    <w:rsid w:val="00301353"/>
    <w:rsid w:val="00305FF6"/>
    <w:rsid w:val="00307568"/>
    <w:rsid w:val="00311506"/>
    <w:rsid w:val="00316ADB"/>
    <w:rsid w:val="00317623"/>
    <w:rsid w:val="00335F67"/>
    <w:rsid w:val="003361E9"/>
    <w:rsid w:val="00350A65"/>
    <w:rsid w:val="00361C85"/>
    <w:rsid w:val="00371352"/>
    <w:rsid w:val="00376753"/>
    <w:rsid w:val="0038541D"/>
    <w:rsid w:val="00387818"/>
    <w:rsid w:val="00391A13"/>
    <w:rsid w:val="00391FD0"/>
    <w:rsid w:val="003A1D70"/>
    <w:rsid w:val="003A44FC"/>
    <w:rsid w:val="003B3299"/>
    <w:rsid w:val="003C5B16"/>
    <w:rsid w:val="003D10A2"/>
    <w:rsid w:val="003D33B8"/>
    <w:rsid w:val="003D624D"/>
    <w:rsid w:val="003D719A"/>
    <w:rsid w:val="003F5EB7"/>
    <w:rsid w:val="003F7FE2"/>
    <w:rsid w:val="004004E7"/>
    <w:rsid w:val="00416E1A"/>
    <w:rsid w:val="00426A3F"/>
    <w:rsid w:val="004277D4"/>
    <w:rsid w:val="004330C2"/>
    <w:rsid w:val="00442321"/>
    <w:rsid w:val="00461638"/>
    <w:rsid w:val="004706FA"/>
    <w:rsid w:val="00474D8D"/>
    <w:rsid w:val="00475CCD"/>
    <w:rsid w:val="00477266"/>
    <w:rsid w:val="004811BC"/>
    <w:rsid w:val="004838F2"/>
    <w:rsid w:val="00486492"/>
    <w:rsid w:val="00492CF6"/>
    <w:rsid w:val="004A4C9D"/>
    <w:rsid w:val="004C2078"/>
    <w:rsid w:val="004C228F"/>
    <w:rsid w:val="004D770F"/>
    <w:rsid w:val="004E752F"/>
    <w:rsid w:val="004F1E37"/>
    <w:rsid w:val="00514495"/>
    <w:rsid w:val="00515198"/>
    <w:rsid w:val="00521C44"/>
    <w:rsid w:val="005274E1"/>
    <w:rsid w:val="00531DDF"/>
    <w:rsid w:val="00535FA6"/>
    <w:rsid w:val="00542AB7"/>
    <w:rsid w:val="0055358D"/>
    <w:rsid w:val="005540C8"/>
    <w:rsid w:val="00555809"/>
    <w:rsid w:val="00562165"/>
    <w:rsid w:val="005756AF"/>
    <w:rsid w:val="00575A4A"/>
    <w:rsid w:val="00591B6F"/>
    <w:rsid w:val="005A1DAF"/>
    <w:rsid w:val="005C17C8"/>
    <w:rsid w:val="005C2098"/>
    <w:rsid w:val="005C2E6C"/>
    <w:rsid w:val="005D0CCF"/>
    <w:rsid w:val="005D1C01"/>
    <w:rsid w:val="005E1230"/>
    <w:rsid w:val="005E297D"/>
    <w:rsid w:val="005E3F12"/>
    <w:rsid w:val="005F627E"/>
    <w:rsid w:val="0061652E"/>
    <w:rsid w:val="006205E9"/>
    <w:rsid w:val="00622D0B"/>
    <w:rsid w:val="006270DA"/>
    <w:rsid w:val="00630B75"/>
    <w:rsid w:val="0063102F"/>
    <w:rsid w:val="00634DFF"/>
    <w:rsid w:val="00635337"/>
    <w:rsid w:val="0064265B"/>
    <w:rsid w:val="0064519C"/>
    <w:rsid w:val="0065082E"/>
    <w:rsid w:val="006512D0"/>
    <w:rsid w:val="006560A3"/>
    <w:rsid w:val="00656301"/>
    <w:rsid w:val="006600C9"/>
    <w:rsid w:val="00666199"/>
    <w:rsid w:val="006664F1"/>
    <w:rsid w:val="006701CC"/>
    <w:rsid w:val="00671F58"/>
    <w:rsid w:val="006762A4"/>
    <w:rsid w:val="006900E7"/>
    <w:rsid w:val="006A00A8"/>
    <w:rsid w:val="006A482D"/>
    <w:rsid w:val="006B11E0"/>
    <w:rsid w:val="006B386A"/>
    <w:rsid w:val="006B7CB4"/>
    <w:rsid w:val="006C24D3"/>
    <w:rsid w:val="006C7917"/>
    <w:rsid w:val="006E51AE"/>
    <w:rsid w:val="0070081F"/>
    <w:rsid w:val="007018F5"/>
    <w:rsid w:val="00706211"/>
    <w:rsid w:val="00710897"/>
    <w:rsid w:val="00712F45"/>
    <w:rsid w:val="007252BC"/>
    <w:rsid w:val="00734305"/>
    <w:rsid w:val="007370E1"/>
    <w:rsid w:val="007732A1"/>
    <w:rsid w:val="00774C4A"/>
    <w:rsid w:val="00782BBB"/>
    <w:rsid w:val="007A0690"/>
    <w:rsid w:val="007A078F"/>
    <w:rsid w:val="007B34D4"/>
    <w:rsid w:val="007C0633"/>
    <w:rsid w:val="007D086C"/>
    <w:rsid w:val="007F1BE1"/>
    <w:rsid w:val="007F4463"/>
    <w:rsid w:val="007F707F"/>
    <w:rsid w:val="007F794C"/>
    <w:rsid w:val="007F7AC9"/>
    <w:rsid w:val="00803B42"/>
    <w:rsid w:val="008073EF"/>
    <w:rsid w:val="0081095C"/>
    <w:rsid w:val="00810C41"/>
    <w:rsid w:val="008212FF"/>
    <w:rsid w:val="0082444D"/>
    <w:rsid w:val="0082593B"/>
    <w:rsid w:val="00827537"/>
    <w:rsid w:val="008468EA"/>
    <w:rsid w:val="008629E1"/>
    <w:rsid w:val="00867140"/>
    <w:rsid w:val="00881134"/>
    <w:rsid w:val="008904F0"/>
    <w:rsid w:val="008961DA"/>
    <w:rsid w:val="008B2F27"/>
    <w:rsid w:val="008B4A72"/>
    <w:rsid w:val="008B585E"/>
    <w:rsid w:val="008E6C0C"/>
    <w:rsid w:val="008F1E63"/>
    <w:rsid w:val="008F3052"/>
    <w:rsid w:val="008F4601"/>
    <w:rsid w:val="00901E19"/>
    <w:rsid w:val="009214F7"/>
    <w:rsid w:val="00921CD7"/>
    <w:rsid w:val="00940EB6"/>
    <w:rsid w:val="00944771"/>
    <w:rsid w:val="009601FC"/>
    <w:rsid w:val="00965426"/>
    <w:rsid w:val="0096654A"/>
    <w:rsid w:val="009711E4"/>
    <w:rsid w:val="00971572"/>
    <w:rsid w:val="00981E55"/>
    <w:rsid w:val="00986CEF"/>
    <w:rsid w:val="00987212"/>
    <w:rsid w:val="009A0E5F"/>
    <w:rsid w:val="009F0AE5"/>
    <w:rsid w:val="009F1AF3"/>
    <w:rsid w:val="009F1FAE"/>
    <w:rsid w:val="009F233E"/>
    <w:rsid w:val="00A024AB"/>
    <w:rsid w:val="00A050A5"/>
    <w:rsid w:val="00A05B8B"/>
    <w:rsid w:val="00A1372F"/>
    <w:rsid w:val="00A170EC"/>
    <w:rsid w:val="00A217B3"/>
    <w:rsid w:val="00A23D04"/>
    <w:rsid w:val="00A277D9"/>
    <w:rsid w:val="00A30CEB"/>
    <w:rsid w:val="00A31318"/>
    <w:rsid w:val="00A503AD"/>
    <w:rsid w:val="00A537E0"/>
    <w:rsid w:val="00A5432A"/>
    <w:rsid w:val="00A55F8A"/>
    <w:rsid w:val="00A9670E"/>
    <w:rsid w:val="00AA1423"/>
    <w:rsid w:val="00AB7996"/>
    <w:rsid w:val="00AC43C3"/>
    <w:rsid w:val="00AE2EAD"/>
    <w:rsid w:val="00AF77BE"/>
    <w:rsid w:val="00B11CEE"/>
    <w:rsid w:val="00B23428"/>
    <w:rsid w:val="00B264BF"/>
    <w:rsid w:val="00B32153"/>
    <w:rsid w:val="00B3387B"/>
    <w:rsid w:val="00B42E74"/>
    <w:rsid w:val="00B46874"/>
    <w:rsid w:val="00B50E8F"/>
    <w:rsid w:val="00B51151"/>
    <w:rsid w:val="00B523E4"/>
    <w:rsid w:val="00B52B4F"/>
    <w:rsid w:val="00B6108C"/>
    <w:rsid w:val="00B649AD"/>
    <w:rsid w:val="00B64B9C"/>
    <w:rsid w:val="00B67A3E"/>
    <w:rsid w:val="00B735CC"/>
    <w:rsid w:val="00B82C95"/>
    <w:rsid w:val="00B83F87"/>
    <w:rsid w:val="00B84DFD"/>
    <w:rsid w:val="00BB4E38"/>
    <w:rsid w:val="00BC3879"/>
    <w:rsid w:val="00BD0E0D"/>
    <w:rsid w:val="00BD41BC"/>
    <w:rsid w:val="00BD55AD"/>
    <w:rsid w:val="00BE0305"/>
    <w:rsid w:val="00BF15F0"/>
    <w:rsid w:val="00BF7DF9"/>
    <w:rsid w:val="00C03559"/>
    <w:rsid w:val="00C05395"/>
    <w:rsid w:val="00C22AD7"/>
    <w:rsid w:val="00C26AA2"/>
    <w:rsid w:val="00C272C1"/>
    <w:rsid w:val="00C32A68"/>
    <w:rsid w:val="00C34282"/>
    <w:rsid w:val="00C35350"/>
    <w:rsid w:val="00C3564B"/>
    <w:rsid w:val="00C42B49"/>
    <w:rsid w:val="00C4498C"/>
    <w:rsid w:val="00C53721"/>
    <w:rsid w:val="00C64D2E"/>
    <w:rsid w:val="00C70F97"/>
    <w:rsid w:val="00C7497C"/>
    <w:rsid w:val="00C757A2"/>
    <w:rsid w:val="00C75966"/>
    <w:rsid w:val="00C76577"/>
    <w:rsid w:val="00C80225"/>
    <w:rsid w:val="00C80B66"/>
    <w:rsid w:val="00C81349"/>
    <w:rsid w:val="00C93139"/>
    <w:rsid w:val="00CA08A0"/>
    <w:rsid w:val="00CA32D2"/>
    <w:rsid w:val="00CA4E07"/>
    <w:rsid w:val="00CA737D"/>
    <w:rsid w:val="00CB1EF5"/>
    <w:rsid w:val="00CC05D4"/>
    <w:rsid w:val="00CC7166"/>
    <w:rsid w:val="00CF5275"/>
    <w:rsid w:val="00CF6136"/>
    <w:rsid w:val="00D0023D"/>
    <w:rsid w:val="00D006C6"/>
    <w:rsid w:val="00D14A65"/>
    <w:rsid w:val="00D162B9"/>
    <w:rsid w:val="00D251E2"/>
    <w:rsid w:val="00D254F4"/>
    <w:rsid w:val="00D263A7"/>
    <w:rsid w:val="00D26B5D"/>
    <w:rsid w:val="00D33159"/>
    <w:rsid w:val="00D33A19"/>
    <w:rsid w:val="00D355B5"/>
    <w:rsid w:val="00D43DC3"/>
    <w:rsid w:val="00D51791"/>
    <w:rsid w:val="00D5281E"/>
    <w:rsid w:val="00D6531B"/>
    <w:rsid w:val="00D6612D"/>
    <w:rsid w:val="00D66B45"/>
    <w:rsid w:val="00D71AD9"/>
    <w:rsid w:val="00D73C02"/>
    <w:rsid w:val="00D872ED"/>
    <w:rsid w:val="00D913C6"/>
    <w:rsid w:val="00DA0236"/>
    <w:rsid w:val="00DA5D51"/>
    <w:rsid w:val="00DA5E29"/>
    <w:rsid w:val="00DA61CA"/>
    <w:rsid w:val="00DB66BB"/>
    <w:rsid w:val="00DB73AF"/>
    <w:rsid w:val="00DC2865"/>
    <w:rsid w:val="00DD0894"/>
    <w:rsid w:val="00DE1888"/>
    <w:rsid w:val="00DF1250"/>
    <w:rsid w:val="00DF6EF7"/>
    <w:rsid w:val="00E05454"/>
    <w:rsid w:val="00E074C3"/>
    <w:rsid w:val="00E23329"/>
    <w:rsid w:val="00E24D6D"/>
    <w:rsid w:val="00E341B2"/>
    <w:rsid w:val="00E42633"/>
    <w:rsid w:val="00E5699E"/>
    <w:rsid w:val="00E570E1"/>
    <w:rsid w:val="00E72773"/>
    <w:rsid w:val="00E76739"/>
    <w:rsid w:val="00E81946"/>
    <w:rsid w:val="00E82BB7"/>
    <w:rsid w:val="00E86D13"/>
    <w:rsid w:val="00E936C2"/>
    <w:rsid w:val="00E95346"/>
    <w:rsid w:val="00EA0CEF"/>
    <w:rsid w:val="00EA2E2A"/>
    <w:rsid w:val="00EB79D2"/>
    <w:rsid w:val="00EC0174"/>
    <w:rsid w:val="00ED3EEB"/>
    <w:rsid w:val="00ED5749"/>
    <w:rsid w:val="00ED5FA3"/>
    <w:rsid w:val="00ED68C4"/>
    <w:rsid w:val="00ED6A4E"/>
    <w:rsid w:val="00ED72EA"/>
    <w:rsid w:val="00EE3A4F"/>
    <w:rsid w:val="00EF10C3"/>
    <w:rsid w:val="00EF3BD2"/>
    <w:rsid w:val="00F125A8"/>
    <w:rsid w:val="00F16BCE"/>
    <w:rsid w:val="00F2599D"/>
    <w:rsid w:val="00F4411C"/>
    <w:rsid w:val="00F45DA1"/>
    <w:rsid w:val="00F5267B"/>
    <w:rsid w:val="00F53E8B"/>
    <w:rsid w:val="00F663FD"/>
    <w:rsid w:val="00F708E0"/>
    <w:rsid w:val="00F743B0"/>
    <w:rsid w:val="00F82409"/>
    <w:rsid w:val="00F8264F"/>
    <w:rsid w:val="00F833E9"/>
    <w:rsid w:val="00F84580"/>
    <w:rsid w:val="00F873DA"/>
    <w:rsid w:val="00F95982"/>
    <w:rsid w:val="00FA006C"/>
    <w:rsid w:val="00FA190E"/>
    <w:rsid w:val="00FA288B"/>
    <w:rsid w:val="00FA2997"/>
    <w:rsid w:val="00FA2C71"/>
    <w:rsid w:val="00FB3345"/>
    <w:rsid w:val="00FD0228"/>
    <w:rsid w:val="00FD3BB7"/>
    <w:rsid w:val="00FE0D93"/>
    <w:rsid w:val="00FF00B0"/>
    <w:rsid w:val="00FF2572"/>
    <w:rsid w:val="00FF32AD"/>
    <w:rsid w:val="0DC31556"/>
    <w:rsid w:val="16352327"/>
    <w:rsid w:val="1A3D6143"/>
    <w:rsid w:val="1C013801"/>
    <w:rsid w:val="236E00A0"/>
    <w:rsid w:val="26B0388E"/>
    <w:rsid w:val="2D527252"/>
    <w:rsid w:val="2EAE55F2"/>
    <w:rsid w:val="2EDF4302"/>
    <w:rsid w:val="42642FF3"/>
    <w:rsid w:val="47550EBA"/>
    <w:rsid w:val="5E971D26"/>
    <w:rsid w:val="6636451A"/>
    <w:rsid w:val="66E47FAB"/>
    <w:rsid w:val="6EF65E9C"/>
    <w:rsid w:val="71397E03"/>
    <w:rsid w:val="77FFA8F9"/>
    <w:rsid w:val="7A9314AC"/>
    <w:rsid w:val="7C631402"/>
    <w:rsid w:val="7E140770"/>
    <w:rsid w:val="7FEFB5DD"/>
    <w:rsid w:val="B5F66F24"/>
    <w:rsid w:val="C5B3F496"/>
    <w:rsid w:val="DDD7453A"/>
    <w:rsid w:val="DFE75A3D"/>
    <w:rsid w:val="DFEF594B"/>
    <w:rsid w:val="F1F9A9B5"/>
    <w:rsid w:val="FABF7411"/>
    <w:rsid w:val="FEFD95B3"/>
    <w:rsid w:val="FF2E69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qFormat/>
    <w:uiPriority w:val="0"/>
    <w:rPr>
      <w:rFonts w:ascii="宋体" w:eastAsia="宋体"/>
      <w:sz w:val="18"/>
      <w:szCs w:val="18"/>
    </w:rPr>
  </w:style>
  <w:style w:type="paragraph" w:styleId="3">
    <w:name w:val="Balloon Text"/>
    <w:basedOn w:val="1"/>
    <w:semiHidden/>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rFonts w:eastAsia="宋体"/>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四号正文"/>
    <w:basedOn w:val="1"/>
    <w:link w:val="11"/>
    <w:qFormat/>
    <w:uiPriority w:val="0"/>
    <w:pPr>
      <w:spacing w:line="360" w:lineRule="auto"/>
    </w:pPr>
    <w:rPr>
      <w:rFonts w:ascii="??" w:hAnsi="??" w:eastAsia="宋体" w:cs="宋体"/>
      <w:color w:val="000000"/>
      <w:kern w:val="0"/>
      <w:sz w:val="28"/>
      <w:szCs w:val="21"/>
    </w:rPr>
  </w:style>
  <w:style w:type="character" w:customStyle="1" w:styleId="11">
    <w:name w:val="四号正文 Char"/>
    <w:basedOn w:val="8"/>
    <w:link w:val="10"/>
    <w:qFormat/>
    <w:uiPriority w:val="0"/>
    <w:rPr>
      <w:rFonts w:ascii="??" w:hAnsi="??" w:eastAsia="宋体" w:cs="宋体"/>
      <w:color w:val="000000"/>
      <w:sz w:val="28"/>
      <w:szCs w:val="21"/>
      <w:lang w:val="en-US" w:eastAsia="zh-CN" w:bidi="ar-SA"/>
    </w:rPr>
  </w:style>
  <w:style w:type="character" w:customStyle="1" w:styleId="12">
    <w:name w:val="文档结构图 Char"/>
    <w:basedOn w:val="8"/>
    <w:link w:val="2"/>
    <w:qFormat/>
    <w:uiPriority w:val="0"/>
    <w:rPr>
      <w:rFonts w:ascii="宋体"/>
      <w:kern w:val="2"/>
      <w:sz w:val="18"/>
      <w:szCs w:val="18"/>
    </w:rPr>
  </w:style>
  <w:style w:type="paragraph" w:customStyle="1" w:styleId="13">
    <w:name w:val="a"/>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4">
    <w:name w:val="页脚 Char"/>
    <w:basedOn w:val="8"/>
    <w:link w:val="4"/>
    <w:qFormat/>
    <w:uiPriority w:val="99"/>
    <w:rPr>
      <w:kern w:val="2"/>
      <w:sz w:val="18"/>
      <w:szCs w:val="18"/>
    </w:rPr>
  </w:style>
  <w:style w:type="character" w:customStyle="1" w:styleId="15">
    <w:name w:val="font3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C53-A9F9-4AB6-8DB9-B6A757B956A2}">
  <ds:schemaRefs/>
</ds:datastoreItem>
</file>

<file path=docProps/app.xml><?xml version="1.0" encoding="utf-8"?>
<Properties xmlns="http://schemas.openxmlformats.org/officeDocument/2006/extended-properties" xmlns:vt="http://schemas.openxmlformats.org/officeDocument/2006/docPropsVTypes">
  <Template>Normal</Template>
  <Company>PSZX</Company>
  <Pages>6</Pages>
  <Words>2483</Words>
  <Characters>2711</Characters>
  <Lines>20</Lines>
  <Paragraphs>5</Paragraphs>
  <TotalTime>3</TotalTime>
  <ScaleCrop>false</ScaleCrop>
  <LinksUpToDate>false</LinksUpToDate>
  <CharactersWithSpaces>2762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2019-05-16T11:06:00Z</dcterms:created>
  <dc:creator>陈萍</dc:creator>
  <cp:lastModifiedBy>纳伟燕</cp:lastModifiedBy>
  <cp:lastPrinted>2022-03-26T08:26:00Z</cp:lastPrinted>
  <dcterms:modified xsi:type="dcterms:W3CDTF">2023-04-19T01:08:33Z</dcterms:modified>
  <dc:title>区域性就业培训基地建设项目</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DFABE2EDD1A3406585FA886B38F01660_12</vt:lpwstr>
  </property>
</Properties>
</file>